
<file path=[Content_Types].xml><?xml version="1.0" encoding="utf-8"?>
<Types xmlns="http://schemas.openxmlformats.org/package/2006/content-types">
  <Override PartName="/word/charts/chart10.xml" ContentType="application/vnd.openxmlformats-officedocument.drawingml.chart+xml"/>
  <Override PartName="/customXml/itemProps1.xml" ContentType="application/vnd.openxmlformats-officedocument.customXmlProperties+xml"/>
  <Override PartName="/word/charts/chart59.xml" ContentType="application/vnd.openxmlformats-officedocument.drawingml.chart+xml"/>
  <Override PartName="/word/charts/chart68.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39.xml" ContentType="application/vnd.openxmlformats-officedocument.drawingml.chart+xml"/>
  <Override PartName="/word/charts/chart48.xml" ContentType="application/vnd.openxmlformats-officedocument.drawingml.chart+xml"/>
  <Override PartName="/word/charts/chart57.xml" ContentType="application/vnd.openxmlformats-officedocument.drawingml.chart+xml"/>
  <Override PartName="/word/charts/chart6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26.xml" ContentType="application/vnd.openxmlformats-officedocument.drawingml.chart+xml"/>
  <Override PartName="/word/charts/chart37.xml" ContentType="application/vnd.openxmlformats-officedocument.drawingml.chart+xml"/>
  <Override PartName="/word/charts/chart46.xml" ContentType="application/vnd.openxmlformats-officedocument.drawingml.chart+xml"/>
  <Override PartName="/word/charts/chart55.xml" ContentType="application/vnd.openxmlformats-officedocument.drawingml.chart+xml"/>
  <Override PartName="/word/charts/chart64.xml" ContentType="application/vnd.openxmlformats-officedocument.drawingml.chart+xml"/>
  <Override PartName="/word/charts/chart73.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24.xml" ContentType="application/vnd.openxmlformats-officedocument.drawingml.chart+xml"/>
  <Override PartName="/word/charts/chart35.xml" ContentType="application/vnd.openxmlformats-officedocument.drawingml.chart+xml"/>
  <Override PartName="/word/charts/chart44.xml" ContentType="application/vnd.openxmlformats-officedocument.drawingml.chart+xml"/>
  <Override PartName="/word/charts/chart53.xml" ContentType="application/vnd.openxmlformats-officedocument.drawingml.chart+xml"/>
  <Override PartName="/word/charts/chart62.xml" ContentType="application/vnd.openxmlformats-officedocument.drawingml.chart+xml"/>
  <Override PartName="/word/charts/chart71.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22.xml" ContentType="application/vnd.openxmlformats-officedocument.drawingml.chart+xml"/>
  <Override PartName="/word/charts/chart31.xml" ContentType="application/vnd.openxmlformats-officedocument.drawingml.chart+xml"/>
  <Override PartName="/word/charts/chart33.xml" ContentType="application/vnd.openxmlformats-officedocument.drawingml.chart+xml"/>
  <Override PartName="/word/charts/chart42.xml" ContentType="application/vnd.openxmlformats-officedocument.drawingml.chart+xml"/>
  <Override PartName="/word/charts/chart51.xml" ContentType="application/vnd.openxmlformats-officedocument.drawingml.chart+xml"/>
  <Override PartName="/word/charts/chart60.xml" ContentType="application/vnd.openxmlformats-officedocument.drawingml.chart+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docProps/core.xml" ContentType="application/vnd.openxmlformats-package.core-properties+xml"/>
  <Default Extension="jpeg" ContentType="image/jpeg"/>
  <Override PartName="/word/charts/chart49.xml" ContentType="application/vnd.openxmlformats-officedocument.drawingml.chart+xml"/>
  <Override PartName="/word/charts/chart69.xml" ContentType="application/vnd.openxmlformats-officedocument.drawingml.chart+xml"/>
  <Override PartName="/word/numbering.xml" ContentType="application/vnd.openxmlformats-officedocument.wordprocessingml.numbering+xml"/>
  <Override PartName="/word/charts/chart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47.xml" ContentType="application/vnd.openxmlformats-officedocument.drawingml.chart+xml"/>
  <Override PartName="/word/charts/chart58.xml" ContentType="application/vnd.openxmlformats-officedocument.drawingml.chart+xml"/>
  <Override PartName="/word/charts/chart67.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45.xml" ContentType="application/vnd.openxmlformats-officedocument.drawingml.chart+xml"/>
  <Override PartName="/word/charts/chart54.xml" ContentType="application/vnd.openxmlformats-officedocument.drawingml.chart+xml"/>
  <Override PartName="/word/charts/chart56.xml" ContentType="application/vnd.openxmlformats-officedocument.drawingml.chart+xml"/>
  <Override PartName="/word/charts/chart65.xml" ContentType="application/vnd.openxmlformats-officedocument.drawingml.chart+xml"/>
  <Override PartName="/word/charts/chart74.xml" ContentType="application/vnd.openxmlformats-officedocument.drawingml.chart+xml"/>
  <Override PartName="/word/charts/chart4.xml" ContentType="application/vnd.openxmlformats-officedocument.drawingml.chart+xml"/>
  <Override PartName="/word/charts/chart16.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43.xml" ContentType="application/vnd.openxmlformats-officedocument.drawingml.chart+xml"/>
  <Override PartName="/word/charts/chart52.xml" ContentType="application/vnd.openxmlformats-officedocument.drawingml.chart+xml"/>
  <Override PartName="/word/charts/chart63.xml" ContentType="application/vnd.openxmlformats-officedocument.drawingml.chart+xml"/>
  <Override PartName="/word/charts/chart72.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14.xml" ContentType="application/vnd.openxmlformats-officedocument.drawingml.chart+xml"/>
  <Override PartName="/word/charts/chart23.xml" ContentType="application/vnd.openxmlformats-officedocument.drawingml.chart+xml"/>
  <Override PartName="/word/charts/chart32.xml" ContentType="application/vnd.openxmlformats-officedocument.drawingml.chart+xml"/>
  <Override PartName="/word/charts/chart41.xml" ContentType="application/vnd.openxmlformats-officedocument.drawingml.chart+xml"/>
  <Override PartName="/word/charts/chart50.xml" ContentType="application/vnd.openxmlformats-officedocument.drawingml.chart+xml"/>
  <Override PartName="/word/charts/chart61.xml" ContentType="application/vnd.openxmlformats-officedocument.drawingml.chart+xml"/>
  <Override PartName="/word/charts/chart70.xml" ContentType="application/vnd.openxmlformats-officedocument.drawingml.chart+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E758FA">
      <w:r w:rsidRPr="00E758FA">
        <w:rPr>
          <w:noProof/>
          <w:lang w:val="en-US" w:eastAsia="zh-TW"/>
        </w:rPr>
        <w:pict>
          <v:shapetype id="_x0000_t202" coordsize="21600,21600" o:spt="202" path="m,l,21600r21600,l21600,xe">
            <v:stroke joinstyle="miter"/>
            <v:path gradientshapeok="t" o:connecttype="rect"/>
          </v:shapetype>
          <v:shape id="_x0000_s1026" type="#_x0000_t202" style="position:absolute;margin-left:8833.5pt;margin-top:0;width:299.8pt;height:123pt;z-index:251660288;mso-position-horizontal:right;mso-position-horizontal-relative:margin;mso-position-vertical:top;mso-position-vertical-relative:margin;mso-width-relative:margin;mso-height-relative:margin" stroked="f">
            <v:textbox style="mso-next-textbox:#_x0000_s1026">
              <w:txbxContent>
                <w:p w:rsidR="00C13421" w:rsidRPr="00E60537" w:rsidRDefault="00DA24E3" w:rsidP="004D3814">
                  <w:pPr>
                    <w:jc w:val="right"/>
                    <w:rPr>
                      <w:rFonts w:ascii="Segoe UI" w:hAnsi="Segoe UI" w:cs="Segoe UI"/>
                      <w:b/>
                      <w:sz w:val="56"/>
                      <w:szCs w:val="72"/>
                      <w:u w:val="single"/>
                    </w:rPr>
                  </w:pPr>
                  <w:r>
                    <w:rPr>
                      <w:rFonts w:ascii="Segoe UI" w:hAnsi="Segoe UI" w:cs="Segoe UI"/>
                      <w:b/>
                      <w:sz w:val="56"/>
                      <w:szCs w:val="72"/>
                      <w:u w:val="single"/>
                    </w:rPr>
                    <w:t>Che</w:t>
                  </w:r>
                  <w:r w:rsidR="00991510">
                    <w:rPr>
                      <w:rFonts w:ascii="Segoe UI" w:hAnsi="Segoe UI" w:cs="Segoe UI"/>
                      <w:b/>
                      <w:sz w:val="56"/>
                      <w:szCs w:val="72"/>
                      <w:u w:val="single"/>
                    </w:rPr>
                    <w:t>shire East</w:t>
                  </w:r>
                  <w:r w:rsidR="00C13421" w:rsidRPr="00E60537">
                    <w:rPr>
                      <w:rFonts w:ascii="Segoe UI" w:hAnsi="Segoe UI" w:cs="Segoe UI"/>
                      <w:b/>
                      <w:sz w:val="56"/>
                      <w:szCs w:val="72"/>
                      <w:u w:val="single"/>
                    </w:rPr>
                    <w:t xml:space="preserve"> Transport &amp; Travel Profile</w:t>
                  </w:r>
                </w:p>
              </w:txbxContent>
            </v:textbox>
            <w10:wrap type="square" anchorx="margin" anchory="margin"/>
          </v:shape>
        </w:pict>
      </w:r>
    </w:p>
    <w:p w:rsidR="004D3814" w:rsidRDefault="00DB0C84">
      <w:r>
        <w:rPr>
          <w:noProof/>
          <w:lang w:eastAsia="en-GB"/>
        </w:rPr>
        <w:drawing>
          <wp:anchor distT="0" distB="0" distL="114300" distR="114300" simplePos="0" relativeHeight="251661312"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nlogo1.jpg"/>
                    <pic:cNvPicPr/>
                  </pic:nvPicPr>
                  <pic:blipFill>
                    <a:blip r:embed="rId6" cstate="print"/>
                    <a:stretch>
                      <a:fillRect/>
                    </a:stretch>
                  </pic:blipFill>
                  <pic:spPr>
                    <a:xfrm>
                      <a:off x="0" y="0"/>
                      <a:ext cx="1371600" cy="819150"/>
                    </a:xfrm>
                    <a:prstGeom prst="rect">
                      <a:avLst/>
                    </a:prstGeom>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E60537">
        <w:rPr>
          <w:rFonts w:ascii="Segoe UI" w:hAnsi="Segoe UI" w:cs="Segoe UI"/>
        </w:rPr>
        <w:t>Transport &amp; Travel</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E60537">
        <w:rPr>
          <w:rFonts w:ascii="Segoe UI" w:hAnsi="Segoe UI" w:cs="Segoe UI"/>
        </w:rPr>
        <w:t>transport &amp; travel</w:t>
      </w:r>
      <w:r w:rsidR="00BF0BE9">
        <w:rPr>
          <w:rFonts w:ascii="Segoe UI" w:hAnsi="Segoe UI" w:cs="Segoe UI"/>
        </w:rPr>
        <w:t xml:space="preserve"> 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the </w:t>
      </w:r>
      <w:r w:rsidR="00A02536">
        <w:rPr>
          <w:rFonts w:ascii="Segoe UI" w:hAnsi="Segoe UI" w:cs="Segoe UI"/>
        </w:rPr>
        <w:t>average for the a</w:t>
      </w:r>
      <w:r w:rsidR="009D5C2F">
        <w:rPr>
          <w:rFonts w:ascii="Segoe UI" w:hAnsi="Segoe UI" w:cs="Segoe UI"/>
        </w:rPr>
        <w:t>uthority class and for the Predominantly Rural and Urban</w:t>
      </w:r>
      <w:r w:rsidR="00707CEB">
        <w:rPr>
          <w:rFonts w:ascii="Segoe UI" w:hAnsi="Segoe UI" w:cs="Segoe UI"/>
        </w:rPr>
        <w:t xml:space="preserve"> classification</w:t>
      </w:r>
      <w:r w:rsidR="009D5C2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C13421" w:rsidRDefault="00C13421">
      <w:pPr>
        <w:rPr>
          <w:rFonts w:ascii="Segoe UI" w:hAnsi="Segoe UI" w:cs="Segoe UI"/>
        </w:rPr>
      </w:pPr>
    </w:p>
    <w:p w:rsidR="00AA4EAF" w:rsidRDefault="00AA4EAF">
      <w:pPr>
        <w:rPr>
          <w:rFonts w:ascii="Segoe UI" w:hAnsi="Segoe UI" w:cs="Segoe UI"/>
        </w:rPr>
      </w:pPr>
      <w:r>
        <w:rPr>
          <w:rFonts w:ascii="Segoe UI" w:hAnsi="Segoe UI" w:cs="Segoe UI"/>
        </w:rPr>
        <w:t>The areas covered are:</w:t>
      </w:r>
    </w:p>
    <w:p w:rsidR="00C13421" w:rsidRDefault="00C13421">
      <w:pPr>
        <w:rPr>
          <w:rFonts w:ascii="Segoe UI" w:hAnsi="Segoe UI" w:cs="Segoe UI"/>
        </w:rPr>
      </w:pPr>
    </w:p>
    <w:p w:rsidR="00AA4EAF" w:rsidRPr="00707CEB" w:rsidRDefault="00E758FA" w:rsidP="00707CEB">
      <w:pPr>
        <w:pStyle w:val="ListParagraph"/>
        <w:numPr>
          <w:ilvl w:val="0"/>
          <w:numId w:val="1"/>
        </w:numPr>
        <w:rPr>
          <w:rFonts w:ascii="Segoe UI" w:hAnsi="Segoe UI" w:cs="Segoe UI"/>
        </w:rPr>
      </w:pPr>
      <w:hyperlink w:anchor="Travel" w:history="1">
        <w:r w:rsidR="00214346" w:rsidRPr="005947D7">
          <w:rPr>
            <w:rStyle w:val="Hyperlink"/>
          </w:rPr>
          <w:t>Travel time</w:t>
        </w:r>
      </w:hyperlink>
    </w:p>
    <w:p w:rsidR="00AA4EAF" w:rsidRPr="00707CEB" w:rsidRDefault="00E758FA" w:rsidP="00707CEB">
      <w:pPr>
        <w:pStyle w:val="ListParagraph"/>
        <w:numPr>
          <w:ilvl w:val="0"/>
          <w:numId w:val="1"/>
        </w:numPr>
        <w:rPr>
          <w:rFonts w:ascii="Segoe UI" w:hAnsi="Segoe UI" w:cs="Segoe UI"/>
        </w:rPr>
      </w:pPr>
      <w:hyperlink w:anchor="Motor" w:history="1">
        <w:r w:rsidR="00214346" w:rsidRPr="005947D7">
          <w:rPr>
            <w:rStyle w:val="Hyperlink"/>
          </w:rPr>
          <w:t>Motor vehicle traffic</w:t>
        </w:r>
      </w:hyperlink>
    </w:p>
    <w:p w:rsidR="00AA4EAF" w:rsidRPr="00707CEB" w:rsidRDefault="00E758FA" w:rsidP="00707CEB">
      <w:pPr>
        <w:pStyle w:val="ListParagraph"/>
        <w:numPr>
          <w:ilvl w:val="0"/>
          <w:numId w:val="1"/>
        </w:numPr>
        <w:rPr>
          <w:rFonts w:ascii="Segoe UI" w:hAnsi="Segoe UI" w:cs="Segoe UI"/>
        </w:rPr>
      </w:pPr>
      <w:hyperlink w:anchor="Road" w:history="1">
        <w:r w:rsidR="00214346" w:rsidRPr="005947D7">
          <w:rPr>
            <w:rStyle w:val="Hyperlink"/>
          </w:rPr>
          <w:t>Road network</w:t>
        </w:r>
      </w:hyperlink>
    </w:p>
    <w:p w:rsidR="00AA4EAF" w:rsidRPr="00707CEB" w:rsidRDefault="00E758FA" w:rsidP="00707CEB">
      <w:pPr>
        <w:pStyle w:val="ListParagraph"/>
        <w:numPr>
          <w:ilvl w:val="0"/>
          <w:numId w:val="1"/>
        </w:numPr>
        <w:rPr>
          <w:rFonts w:ascii="Segoe UI" w:hAnsi="Segoe UI" w:cs="Segoe UI"/>
        </w:rPr>
      </w:pPr>
      <w:hyperlink w:anchor="Speed" w:history="1">
        <w:r w:rsidR="00214346" w:rsidRPr="005947D7">
          <w:rPr>
            <w:rStyle w:val="Hyperlink"/>
          </w:rPr>
          <w:t>Road speed and delay</w:t>
        </w:r>
      </w:hyperlink>
    </w:p>
    <w:p w:rsidR="00214346" w:rsidRPr="00214346" w:rsidRDefault="00E758FA" w:rsidP="00214346">
      <w:pPr>
        <w:pStyle w:val="ListParagraph"/>
        <w:numPr>
          <w:ilvl w:val="0"/>
          <w:numId w:val="1"/>
        </w:numPr>
        <w:rPr>
          <w:rFonts w:ascii="Segoe UI" w:hAnsi="Segoe UI" w:cs="Segoe UI"/>
        </w:rPr>
      </w:pPr>
      <w:hyperlink w:anchor="Walking" w:history="1">
        <w:r w:rsidR="009D5C2F" w:rsidRPr="005947D7">
          <w:rPr>
            <w:rStyle w:val="Hyperlink"/>
          </w:rPr>
          <w:t>Walking</w:t>
        </w:r>
        <w:r w:rsidR="00214346" w:rsidRPr="005947D7">
          <w:rPr>
            <w:rStyle w:val="Hyperlink"/>
          </w:rPr>
          <w:t xml:space="preserve"> and cycling</w:t>
        </w:r>
      </w:hyperlink>
    </w:p>
    <w:p w:rsidR="00C13421" w:rsidRDefault="00C13421">
      <w:pPr>
        <w:rPr>
          <w:rFonts w:ascii="Segoe UI" w:hAnsi="Segoe UI" w:cs="Segoe UI"/>
          <w:b/>
          <w:u w:val="single"/>
        </w:rPr>
      </w:pPr>
      <w:r>
        <w:rPr>
          <w:rFonts w:ascii="Segoe UI" w:hAnsi="Segoe UI" w:cs="Segoe UI"/>
          <w:b/>
          <w:u w:val="single"/>
        </w:rPr>
        <w:br w:type="page"/>
      </w:r>
    </w:p>
    <w:p w:rsidR="00C27833" w:rsidRPr="00075447" w:rsidRDefault="00214346">
      <w:pPr>
        <w:rPr>
          <w:rFonts w:ascii="Segoe UI" w:hAnsi="Segoe UI" w:cs="Segoe UI"/>
          <w:b/>
          <w:u w:val="single"/>
        </w:rPr>
      </w:pPr>
      <w:bookmarkStart w:id="0" w:name="Travel"/>
      <w:bookmarkEnd w:id="0"/>
      <w:r>
        <w:rPr>
          <w:rFonts w:ascii="Segoe UI" w:hAnsi="Segoe UI" w:cs="Segoe UI"/>
          <w:b/>
          <w:u w:val="single"/>
        </w:rPr>
        <w:lastRenderedPageBreak/>
        <w:t>Travel time</w:t>
      </w:r>
    </w:p>
    <w:p w:rsidR="002211F3" w:rsidRPr="00826B10" w:rsidRDefault="00826B10" w:rsidP="00826B10">
      <w:pPr>
        <w:jc w:val="right"/>
        <w:rPr>
          <w:rFonts w:ascii="Segoe UI" w:hAnsi="Segoe UI" w:cs="Segoe UI"/>
          <w:i/>
          <w:sz w:val="16"/>
        </w:rPr>
      </w:pPr>
      <w:r w:rsidRPr="00826B10">
        <w:rPr>
          <w:rFonts w:ascii="Segoe UI" w:hAnsi="Segoe UI" w:cs="Segoe UI"/>
          <w:i/>
          <w:sz w:val="16"/>
        </w:rPr>
        <w:t>NB. travel times are in minutes except where travel time is above 120 minutes in which case 120 is shown.</w:t>
      </w:r>
    </w:p>
    <w:p w:rsidR="00826B10" w:rsidRDefault="00826B10">
      <w:pPr>
        <w:rPr>
          <w:rFonts w:ascii="Segoe UI" w:hAnsi="Segoe UI" w:cs="Segoe UI"/>
          <w:sz w:val="20"/>
        </w:rPr>
      </w:pPr>
    </w:p>
    <w:p w:rsidR="00075447" w:rsidRDefault="002211F3">
      <w:pPr>
        <w:rPr>
          <w:rFonts w:ascii="Segoe UI" w:hAnsi="Segoe UI" w:cs="Segoe UI"/>
          <w:sz w:val="20"/>
        </w:rPr>
      </w:pPr>
      <w:r w:rsidRPr="002211F3">
        <w:rPr>
          <w:rFonts w:ascii="Segoe UI" w:hAnsi="Segoe UI" w:cs="Segoe UI"/>
          <w:sz w:val="20"/>
        </w:rPr>
        <w:t xml:space="preserve">Travel time in minutes to nearest </w:t>
      </w:r>
      <w:r w:rsidRPr="008615B3">
        <w:rPr>
          <w:rFonts w:ascii="Segoe UI" w:hAnsi="Segoe UI" w:cs="Segoe UI"/>
          <w:sz w:val="20"/>
          <w:u w:val="single"/>
        </w:rPr>
        <w:t>employment centre</w:t>
      </w:r>
      <w:r w:rsidR="00680CB9" w:rsidRPr="008615B3">
        <w:rPr>
          <w:rFonts w:ascii="Segoe UI" w:hAnsi="Segoe UI" w:cs="Segoe UI"/>
          <w:sz w:val="20"/>
          <w:u w:val="single"/>
        </w:rPr>
        <w:t xml:space="preserve"> with 100 to 499 jobs</w:t>
      </w:r>
    </w:p>
    <w:p w:rsidR="00680CB9" w:rsidRPr="002211F3" w:rsidRDefault="00680CB9">
      <w:pPr>
        <w:rPr>
          <w:rFonts w:ascii="Segoe UI" w:hAnsi="Segoe UI" w:cs="Segoe UI"/>
          <w:sz w:val="20"/>
        </w:rPr>
      </w:pPr>
    </w:p>
    <w:p w:rsidR="002211F3" w:rsidRDefault="002211F3">
      <w:pPr>
        <w:rPr>
          <w:noProof/>
          <w:lang w:eastAsia="en-GB"/>
        </w:rPr>
      </w:pPr>
      <w:r w:rsidRPr="002211F3">
        <w:rPr>
          <w:rFonts w:ascii="Segoe UI" w:hAnsi="Segoe UI" w:cs="Segoe UI"/>
          <w:noProof/>
          <w:lang w:eastAsia="en-GB"/>
        </w:rPr>
        <w:drawing>
          <wp:inline distT="0" distB="0" distL="0" distR="0">
            <wp:extent cx="3124200" cy="2743200"/>
            <wp:effectExtent l="19050" t="0" r="19050" b="0"/>
            <wp:docPr id="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2211F3">
        <w:rPr>
          <w:noProof/>
          <w:lang w:eastAsia="en-GB"/>
        </w:rPr>
        <w:t xml:space="preserve"> </w:t>
      </w:r>
      <w:r w:rsidRPr="002211F3">
        <w:rPr>
          <w:rFonts w:ascii="Segoe UI" w:hAnsi="Segoe UI" w:cs="Segoe UI"/>
          <w:noProof/>
          <w:lang w:eastAsia="en-GB"/>
        </w:rPr>
        <w:drawing>
          <wp:inline distT="0" distB="0" distL="0" distR="0">
            <wp:extent cx="3124200" cy="2743200"/>
            <wp:effectExtent l="19050" t="0" r="19050" b="0"/>
            <wp:docPr id="2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211F3" w:rsidRDefault="002211F3">
      <w:pPr>
        <w:rPr>
          <w:rFonts w:ascii="Segoe UI" w:hAnsi="Segoe UI" w:cs="Segoe UI"/>
        </w:rPr>
      </w:pPr>
      <w:r w:rsidRPr="002211F3">
        <w:rPr>
          <w:rFonts w:ascii="Segoe UI" w:hAnsi="Segoe UI" w:cs="Segoe UI"/>
          <w:noProof/>
          <w:lang w:eastAsia="en-GB"/>
        </w:rPr>
        <w:drawing>
          <wp:inline distT="0" distB="0" distL="0" distR="0">
            <wp:extent cx="3124200" cy="2743200"/>
            <wp:effectExtent l="19050" t="0" r="19050" b="0"/>
            <wp:docPr id="2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211F3" w:rsidRDefault="002211F3">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443081" w:rsidRDefault="00680CB9">
      <w:pPr>
        <w:rPr>
          <w:rFonts w:ascii="Segoe UI" w:hAnsi="Segoe UI" w:cs="Segoe UI"/>
          <w:sz w:val="20"/>
        </w:rPr>
      </w:pPr>
      <w:r w:rsidRPr="00680CB9">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500 to 4999 jobs</w:t>
      </w:r>
    </w:p>
    <w:p w:rsidR="00680CB9" w:rsidRDefault="00680CB9">
      <w:pPr>
        <w:rPr>
          <w:rFonts w:ascii="Segoe UI" w:hAnsi="Segoe UI" w:cs="Segoe UI"/>
          <w:sz w:val="20"/>
        </w:rPr>
      </w:pPr>
    </w:p>
    <w:p w:rsidR="00680CB9" w:rsidRDefault="00680CB9">
      <w:pPr>
        <w:rPr>
          <w:noProof/>
          <w:lang w:eastAsia="en-GB"/>
        </w:rPr>
      </w:pPr>
      <w:r w:rsidRPr="00680CB9">
        <w:rPr>
          <w:rFonts w:ascii="Segoe UI" w:hAnsi="Segoe UI" w:cs="Segoe UI"/>
          <w:noProof/>
          <w:lang w:eastAsia="en-GB"/>
        </w:rPr>
        <w:drawing>
          <wp:inline distT="0" distB="0" distL="0" distR="0">
            <wp:extent cx="3124200" cy="2743200"/>
            <wp:effectExtent l="19050" t="0" r="19050" b="0"/>
            <wp:docPr id="2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680CB9">
        <w:rPr>
          <w:noProof/>
          <w:lang w:eastAsia="en-GB"/>
        </w:rPr>
        <w:t xml:space="preserve"> </w:t>
      </w:r>
      <w:r w:rsidRPr="00680CB9">
        <w:rPr>
          <w:rFonts w:ascii="Segoe UI" w:hAnsi="Segoe UI" w:cs="Segoe UI"/>
          <w:noProof/>
          <w:lang w:eastAsia="en-GB"/>
        </w:rPr>
        <w:drawing>
          <wp:inline distT="0" distB="0" distL="0" distR="0">
            <wp:extent cx="3124200" cy="2743200"/>
            <wp:effectExtent l="19050" t="0" r="19050" b="0"/>
            <wp:docPr id="2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80CB9" w:rsidRDefault="00680CB9">
      <w:pPr>
        <w:rPr>
          <w:rFonts w:ascii="Segoe UI" w:hAnsi="Segoe UI" w:cs="Segoe UI"/>
        </w:rPr>
      </w:pPr>
      <w:r w:rsidRPr="00680CB9">
        <w:rPr>
          <w:rFonts w:ascii="Segoe UI" w:hAnsi="Segoe UI" w:cs="Segoe UI"/>
          <w:noProof/>
          <w:lang w:eastAsia="en-GB"/>
        </w:rPr>
        <w:drawing>
          <wp:inline distT="0" distB="0" distL="0" distR="0">
            <wp:extent cx="3190875" cy="2743200"/>
            <wp:effectExtent l="19050" t="0" r="9525" b="0"/>
            <wp:docPr id="2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1DB6" w:rsidRDefault="00E21DB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E21DB6" w:rsidRDefault="00E21DB6">
      <w:pPr>
        <w:rPr>
          <w:rFonts w:ascii="Segoe UI" w:hAnsi="Segoe UI" w:cs="Segoe UI"/>
          <w:sz w:val="20"/>
        </w:rPr>
      </w:pPr>
      <w:r w:rsidRPr="00E21DB6">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at least 5000 jobs</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2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E21DB6">
        <w:rPr>
          <w:noProof/>
          <w:lang w:eastAsia="en-GB"/>
        </w:rPr>
        <w:t xml:space="preserve"> </w:t>
      </w:r>
      <w:r w:rsidRPr="00E21DB6">
        <w:rPr>
          <w:rFonts w:ascii="Segoe UI" w:hAnsi="Segoe UI" w:cs="Segoe UI"/>
          <w:noProof/>
          <w:sz w:val="20"/>
          <w:lang w:eastAsia="en-GB"/>
        </w:rPr>
        <w:drawing>
          <wp:inline distT="0" distB="0" distL="0" distR="0">
            <wp:extent cx="3190875" cy="2743200"/>
            <wp:effectExtent l="19050" t="0" r="9525" b="0"/>
            <wp:docPr id="2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21DB6" w:rsidRDefault="00E21DB6">
      <w:pPr>
        <w:rPr>
          <w:rFonts w:ascii="Segoe UI" w:hAnsi="Segoe UI" w:cs="Segoe UI"/>
          <w:sz w:val="20"/>
        </w:rPr>
      </w:pPr>
      <w:r w:rsidRPr="00E21DB6">
        <w:rPr>
          <w:rFonts w:ascii="Segoe UI" w:hAnsi="Segoe UI" w:cs="Segoe UI"/>
          <w:noProof/>
          <w:sz w:val="20"/>
          <w:lang w:eastAsia="en-GB"/>
        </w:rPr>
        <w:drawing>
          <wp:inline distT="0" distB="0" distL="0" distR="0">
            <wp:extent cx="3190875" cy="2743200"/>
            <wp:effectExtent l="19050" t="0" r="9525" b="0"/>
            <wp:docPr id="2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21DB6" w:rsidRDefault="00E21DB6">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E21DB6" w:rsidRDefault="008615B3">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Public Transport/Walk</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3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F6181E" w:rsidRPr="00F6181E">
        <w:rPr>
          <w:noProof/>
          <w:lang w:eastAsia="en-GB"/>
        </w:rPr>
        <w:t xml:space="preserve"> </w:t>
      </w:r>
      <w:r w:rsidR="00F6181E" w:rsidRPr="00F6181E">
        <w:rPr>
          <w:rFonts w:ascii="Segoe UI" w:hAnsi="Segoe UI" w:cs="Segoe UI"/>
          <w:noProof/>
          <w:sz w:val="20"/>
          <w:lang w:eastAsia="en-GB"/>
        </w:rPr>
        <w:drawing>
          <wp:inline distT="0" distB="0" distL="0" distR="0">
            <wp:extent cx="3190875" cy="2743200"/>
            <wp:effectExtent l="19050" t="0" r="9525" b="0"/>
            <wp:docPr id="3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6181E" w:rsidRDefault="00F6181E">
      <w:pPr>
        <w:rPr>
          <w:noProof/>
          <w:lang w:eastAsia="en-GB"/>
        </w:rPr>
      </w:pPr>
    </w:p>
    <w:p w:rsidR="00C13421" w:rsidRDefault="00C13421">
      <w:pPr>
        <w:rPr>
          <w:noProof/>
          <w:lang w:eastAsia="en-GB"/>
        </w:rPr>
      </w:pPr>
    </w:p>
    <w:p w:rsidR="00F6181E" w:rsidRDefault="00F6181E" w:rsidP="00F6181E">
      <w:pPr>
        <w:rPr>
          <w:rFonts w:ascii="Segoe UI" w:hAnsi="Segoe UI" w:cs="Segoe UI"/>
          <w:sz w:val="20"/>
        </w:rPr>
      </w:pPr>
      <w:r w:rsidRPr="008615B3">
        <w:rPr>
          <w:rFonts w:ascii="Segoe UI" w:hAnsi="Segoe UI" w:cs="Segoe UI"/>
          <w:sz w:val="20"/>
        </w:rPr>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Cycle</w:t>
      </w:r>
    </w:p>
    <w:p w:rsidR="00F6181E" w:rsidRDefault="00F6181E" w:rsidP="00F6181E">
      <w:pPr>
        <w:rPr>
          <w:rFonts w:ascii="Segoe UI" w:hAnsi="Segoe UI" w:cs="Segoe UI"/>
          <w:sz w:val="20"/>
        </w:rPr>
      </w:pPr>
    </w:p>
    <w:p w:rsidR="00F6181E" w:rsidRDefault="00F6181E" w:rsidP="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F6181E">
        <w:rPr>
          <w:noProof/>
          <w:lang w:eastAsia="en-GB"/>
        </w:rPr>
        <w:t xml:space="preserve"> </w:t>
      </w:r>
      <w:r w:rsidRPr="00F6181E">
        <w:rPr>
          <w:rFonts w:ascii="Segoe UI" w:hAnsi="Segoe UI" w:cs="Segoe UI"/>
          <w:noProof/>
          <w:sz w:val="20"/>
          <w:lang w:eastAsia="en-GB"/>
        </w:rPr>
        <w:drawing>
          <wp:inline distT="0" distB="0" distL="0" distR="0">
            <wp:extent cx="3190875" cy="2743200"/>
            <wp:effectExtent l="19050" t="0" r="9525" b="0"/>
            <wp:docPr id="3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6181E" w:rsidRDefault="00F6181E" w:rsidP="00F6181E">
      <w:pPr>
        <w:rPr>
          <w:noProof/>
          <w:lang w:eastAsia="en-GB"/>
        </w:rPr>
      </w:pPr>
    </w:p>
    <w:p w:rsidR="00C13421" w:rsidRDefault="00C13421">
      <w:pPr>
        <w:rPr>
          <w:rFonts w:ascii="Segoe UI" w:hAnsi="Segoe UI" w:cs="Segoe UI"/>
          <w:sz w:val="20"/>
        </w:rPr>
      </w:pPr>
      <w:r>
        <w:rPr>
          <w:rFonts w:ascii="Segoe UI" w:hAnsi="Segoe UI" w:cs="Segoe UI"/>
          <w:sz w:val="20"/>
        </w:rPr>
        <w:br w:type="page"/>
      </w:r>
    </w:p>
    <w:p w:rsidR="00F6181E" w:rsidRDefault="00F6181E" w:rsidP="00F6181E">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Car</w:t>
      </w:r>
    </w:p>
    <w:p w:rsidR="00F6181E" w:rsidRDefault="00F6181E" w:rsidP="00F6181E">
      <w:pPr>
        <w:rPr>
          <w:rFonts w:ascii="Segoe UI" w:hAnsi="Segoe UI" w:cs="Segoe UI"/>
          <w:sz w:val="20"/>
        </w:rPr>
      </w:pPr>
    </w:p>
    <w:p w:rsidR="00F6181E" w:rsidRDefault="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A504D8" w:rsidRPr="00A504D8">
        <w:rPr>
          <w:noProof/>
          <w:lang w:eastAsia="en-GB"/>
        </w:rPr>
        <w:t xml:space="preserve"> </w:t>
      </w:r>
      <w:r w:rsidR="00A504D8" w:rsidRPr="00A504D8">
        <w:rPr>
          <w:rFonts w:ascii="Segoe UI" w:hAnsi="Segoe UI" w:cs="Segoe UI"/>
          <w:noProof/>
          <w:sz w:val="20"/>
          <w:lang w:eastAsia="en-GB"/>
        </w:rPr>
        <w:drawing>
          <wp:inline distT="0" distB="0" distL="0" distR="0">
            <wp:extent cx="3190875" cy="2743200"/>
            <wp:effectExtent l="19050" t="0" r="9525" b="0"/>
            <wp:docPr id="3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504D8" w:rsidRDefault="00A504D8">
      <w:pPr>
        <w:rPr>
          <w:noProof/>
          <w:lang w:eastAsia="en-GB"/>
        </w:rPr>
      </w:pPr>
    </w:p>
    <w:p w:rsidR="00C13421" w:rsidRDefault="00C13421">
      <w:pPr>
        <w:rPr>
          <w:noProof/>
          <w:lang w:eastAsia="en-GB"/>
        </w:rPr>
      </w:pPr>
    </w:p>
    <w:p w:rsidR="00154234" w:rsidRDefault="00154234" w:rsidP="001542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Public Transport/Walk</w:t>
      </w:r>
    </w:p>
    <w:p w:rsidR="00154234" w:rsidRDefault="00154234" w:rsidP="00154234">
      <w:pPr>
        <w:rPr>
          <w:rFonts w:ascii="Segoe UI" w:hAnsi="Segoe UI" w:cs="Segoe UI"/>
          <w:sz w:val="20"/>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90875" cy="2743200"/>
            <wp:effectExtent l="19050" t="0" r="9525" b="0"/>
            <wp:docPr id="3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90875" cy="2743200"/>
            <wp:effectExtent l="19050" t="0" r="9525" b="0"/>
            <wp:docPr id="3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54234" w:rsidRDefault="00154234" w:rsidP="001542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54234" w:rsidRDefault="00154234" w:rsidP="00154234">
      <w:pPr>
        <w:rPr>
          <w:noProof/>
          <w:lang w:eastAsia="en-GB"/>
        </w:rPr>
      </w:pPr>
      <w:r w:rsidRPr="008615B3">
        <w:rPr>
          <w:rFonts w:ascii="Segoe UI" w:hAnsi="Segoe UI" w:cs="Segoe UI"/>
          <w:sz w:val="20"/>
        </w:rPr>
        <w:lastRenderedPageBreak/>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Cycle</w:t>
      </w:r>
    </w:p>
    <w:p w:rsidR="00154234" w:rsidRDefault="00154234" w:rsidP="00154234">
      <w:pPr>
        <w:rPr>
          <w:noProof/>
          <w:lang w:eastAsia="en-GB"/>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71825" cy="2743200"/>
            <wp:effectExtent l="19050" t="0" r="9525" b="0"/>
            <wp:docPr id="3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3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54234" w:rsidRDefault="00154234" w:rsidP="00154234">
      <w:pPr>
        <w:rPr>
          <w:noProof/>
          <w:lang w:eastAsia="en-GB"/>
        </w:rPr>
      </w:pPr>
    </w:p>
    <w:p w:rsidR="00C13421" w:rsidRDefault="00C13421" w:rsidP="00154234">
      <w:pPr>
        <w:rPr>
          <w:noProof/>
          <w:lang w:eastAsia="en-GB"/>
        </w:rPr>
      </w:pPr>
    </w:p>
    <w:p w:rsidR="00154234" w:rsidRDefault="00154234" w:rsidP="00154234">
      <w:pPr>
        <w:rPr>
          <w:noProof/>
          <w:lang w:eastAsia="en-GB"/>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Car</w:t>
      </w:r>
    </w:p>
    <w:p w:rsidR="00154234" w:rsidRDefault="00154234" w:rsidP="00154234">
      <w:pPr>
        <w:rPr>
          <w:rFonts w:ascii="Segoe UI" w:hAnsi="Segoe UI" w:cs="Segoe UI"/>
          <w:sz w:val="20"/>
        </w:rPr>
      </w:pPr>
    </w:p>
    <w:p w:rsidR="00154234" w:rsidRDefault="00154234" w:rsidP="00154234">
      <w:pPr>
        <w:rPr>
          <w:rFonts w:ascii="Segoe UI" w:hAnsi="Segoe UI" w:cs="Segoe UI"/>
          <w:sz w:val="20"/>
        </w:rPr>
      </w:pPr>
      <w:r w:rsidRPr="00154234">
        <w:rPr>
          <w:rFonts w:ascii="Segoe UI" w:hAnsi="Segoe UI" w:cs="Segoe UI"/>
          <w:noProof/>
          <w:sz w:val="20"/>
          <w:lang w:eastAsia="en-GB"/>
        </w:rPr>
        <w:drawing>
          <wp:inline distT="0" distB="0" distL="0" distR="0">
            <wp:extent cx="3171825" cy="2743200"/>
            <wp:effectExtent l="19050" t="0" r="9525" b="0"/>
            <wp:docPr id="4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4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504D8" w:rsidRDefault="00A504D8">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843934" w:rsidRDefault="00843934" w:rsidP="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Public Transport/Walk</w:t>
      </w:r>
    </w:p>
    <w:p w:rsidR="00843934" w:rsidRDefault="00843934" w:rsidP="00843934">
      <w:pPr>
        <w:rPr>
          <w:rFonts w:ascii="Segoe UI" w:hAnsi="Segoe UI" w:cs="Segoe UI"/>
          <w:sz w:val="20"/>
        </w:rPr>
      </w:pPr>
    </w:p>
    <w:p w:rsidR="00843934" w:rsidRDefault="00843934" w:rsidP="00843934">
      <w:pPr>
        <w:rPr>
          <w:noProof/>
          <w:lang w:eastAsia="en-GB"/>
        </w:rPr>
      </w:pPr>
      <w:r w:rsidRPr="00843934">
        <w:rPr>
          <w:noProof/>
          <w:lang w:eastAsia="en-GB"/>
        </w:rPr>
        <w:drawing>
          <wp:inline distT="0" distB="0" distL="0" distR="0">
            <wp:extent cx="3171825" cy="2743200"/>
            <wp:effectExtent l="19050" t="0" r="9525" b="0"/>
            <wp:docPr id="4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843934">
        <w:rPr>
          <w:noProof/>
          <w:lang w:eastAsia="en-GB"/>
        </w:rPr>
        <w:t xml:space="preserve"> </w:t>
      </w:r>
      <w:r w:rsidRPr="00843934">
        <w:rPr>
          <w:noProof/>
          <w:lang w:eastAsia="en-GB"/>
        </w:rPr>
        <w:drawing>
          <wp:inline distT="0" distB="0" distL="0" distR="0">
            <wp:extent cx="3171825" cy="2743200"/>
            <wp:effectExtent l="19050" t="0" r="9525" b="0"/>
            <wp:docPr id="4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43934" w:rsidRDefault="00843934" w:rsidP="00843934">
      <w:pPr>
        <w:rPr>
          <w:noProof/>
          <w:lang w:eastAsia="en-GB"/>
        </w:rPr>
      </w:pPr>
    </w:p>
    <w:p w:rsidR="00C13421" w:rsidRDefault="00C13421" w:rsidP="00843934">
      <w:pPr>
        <w:rPr>
          <w:noProof/>
          <w:lang w:eastAsia="en-GB"/>
        </w:rPr>
      </w:pPr>
    </w:p>
    <w:p w:rsidR="00843934" w:rsidRDefault="00843934" w:rsidP="008439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Cycle</w:t>
      </w:r>
    </w:p>
    <w:p w:rsidR="00843934" w:rsidRDefault="00843934" w:rsidP="00843934">
      <w:pPr>
        <w:rPr>
          <w:noProof/>
          <w:lang w:eastAsia="en-GB"/>
        </w:rPr>
      </w:pPr>
    </w:p>
    <w:p w:rsidR="00F6181E" w:rsidRDefault="00843934">
      <w:pPr>
        <w:rPr>
          <w:noProof/>
          <w:lang w:eastAsia="en-GB"/>
        </w:rPr>
      </w:pPr>
      <w:r w:rsidRPr="00843934">
        <w:rPr>
          <w:rFonts w:ascii="Segoe UI" w:hAnsi="Segoe UI" w:cs="Segoe UI"/>
          <w:noProof/>
          <w:sz w:val="20"/>
          <w:lang w:eastAsia="en-GB"/>
        </w:rPr>
        <w:drawing>
          <wp:inline distT="0" distB="0" distL="0" distR="0">
            <wp:extent cx="3171825" cy="2743200"/>
            <wp:effectExtent l="19050" t="0" r="9525" b="0"/>
            <wp:docPr id="4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843934">
        <w:rPr>
          <w:noProof/>
          <w:lang w:eastAsia="en-GB"/>
        </w:rPr>
        <w:t xml:space="preserve"> </w:t>
      </w:r>
      <w:r w:rsidRPr="00843934">
        <w:rPr>
          <w:rFonts w:ascii="Segoe UI" w:hAnsi="Segoe UI" w:cs="Segoe UI"/>
          <w:noProof/>
          <w:sz w:val="20"/>
          <w:lang w:eastAsia="en-GB"/>
        </w:rPr>
        <w:drawing>
          <wp:inline distT="0" distB="0" distL="0" distR="0">
            <wp:extent cx="3171825" cy="2743200"/>
            <wp:effectExtent l="19050" t="0" r="9525" b="0"/>
            <wp:docPr id="4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43934" w:rsidRDefault="008439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843934" w:rsidRPr="00E21DB6" w:rsidRDefault="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w:t>
      </w:r>
      <w:r w:rsidR="001157F0">
        <w:rPr>
          <w:rFonts w:ascii="Segoe UI" w:hAnsi="Segoe UI" w:cs="Segoe UI"/>
          <w:sz w:val="20"/>
        </w:rPr>
        <w:t>ar</w:t>
      </w:r>
    </w:p>
    <w:p w:rsidR="00DE69DB" w:rsidRDefault="00DE69DB">
      <w:pPr>
        <w:rPr>
          <w:rFonts w:ascii="Segoe UI" w:hAnsi="Segoe UI" w:cs="Segoe UI"/>
        </w:rPr>
      </w:pPr>
    </w:p>
    <w:p w:rsidR="00680CB9"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4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157F0" w:rsidRDefault="001157F0">
      <w:pPr>
        <w:rPr>
          <w:noProof/>
          <w:lang w:eastAsia="en-GB"/>
        </w:rPr>
      </w:pPr>
    </w:p>
    <w:p w:rsidR="00C13421" w:rsidRDefault="00C13421">
      <w:pPr>
        <w:rPr>
          <w:noProof/>
          <w:lang w:eastAsia="en-GB"/>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Public Transport/Walk</w:t>
      </w:r>
    </w:p>
    <w:p w:rsidR="001157F0" w:rsidRDefault="001157F0">
      <w:pPr>
        <w:rPr>
          <w:rFonts w:ascii="Segoe UI" w:hAnsi="Segoe UI" w:cs="Segoe UI"/>
        </w:rPr>
      </w:pPr>
    </w:p>
    <w:p w:rsidR="001157F0"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157F0" w:rsidRDefault="001157F0">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157F0" w:rsidRDefault="001157F0">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Cycle</w:t>
      </w:r>
    </w:p>
    <w:p w:rsidR="001157F0" w:rsidRDefault="001157F0">
      <w:pPr>
        <w:rPr>
          <w:rFonts w:ascii="Segoe UI" w:hAnsi="Segoe UI" w:cs="Segoe UI"/>
          <w:sz w:val="20"/>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123766" w:rsidRDefault="00123766">
      <w:pPr>
        <w:rPr>
          <w:rFonts w:ascii="Segoe UI" w:hAnsi="Segoe UI" w:cs="Segoe UI"/>
        </w:rPr>
      </w:pPr>
    </w:p>
    <w:p w:rsidR="00C13421" w:rsidRDefault="00C13421">
      <w:pPr>
        <w:rPr>
          <w:rFonts w:ascii="Segoe UI" w:hAnsi="Segoe UI" w:cs="Segoe UI"/>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Car</w:t>
      </w:r>
    </w:p>
    <w:p w:rsidR="001157F0" w:rsidRDefault="001157F0">
      <w:pPr>
        <w:rPr>
          <w:rFonts w:ascii="Segoe UI" w:hAnsi="Segoe UI" w:cs="Segoe UI"/>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123766" w:rsidRDefault="0012376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6D6F09" w:rsidRDefault="006D6F09" w:rsidP="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Public Transport/Walk</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6D6F09" w:rsidRDefault="006D6F09" w:rsidP="006D6F09">
      <w:pPr>
        <w:rPr>
          <w:rFonts w:ascii="Segoe UI" w:hAnsi="Segoe UI" w:cs="Segoe UI"/>
          <w:sz w:val="20"/>
        </w:rPr>
      </w:pPr>
    </w:p>
    <w:p w:rsidR="00C13421" w:rsidRPr="006D6F09"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Cycle</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A67FA7" w:rsidRDefault="00A67FA7">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D6F09" w:rsidRPr="006D6F09" w:rsidRDefault="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Car</w:t>
      </w:r>
    </w:p>
    <w:p w:rsidR="006D6F09" w:rsidRDefault="006D6F09">
      <w:pPr>
        <w:rPr>
          <w:rFonts w:ascii="Segoe UI" w:hAnsi="Segoe UI" w:cs="Segoe UI"/>
          <w:sz w:val="20"/>
        </w:rPr>
      </w:pPr>
    </w:p>
    <w:p w:rsidR="006D6F09" w:rsidRDefault="006D6F09">
      <w:pPr>
        <w:rPr>
          <w:noProof/>
          <w:lang w:eastAsia="en-GB"/>
        </w:rPr>
      </w:pPr>
      <w:r w:rsidRPr="006D6F09">
        <w:rPr>
          <w:rFonts w:ascii="Segoe UI" w:hAnsi="Segoe UI" w:cs="Segoe UI"/>
          <w:noProof/>
          <w:sz w:val="20"/>
          <w:lang w:eastAsia="en-GB"/>
        </w:rPr>
        <w:drawing>
          <wp:inline distT="0" distB="0" distL="0" distR="0">
            <wp:extent cx="3171825" cy="2743200"/>
            <wp:effectExtent l="19050" t="0" r="9525" b="0"/>
            <wp:docPr id="5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6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6F2C9A" w:rsidRDefault="006F2C9A" w:rsidP="006F2C9A">
      <w:pPr>
        <w:rPr>
          <w:rFonts w:ascii="Segoe UI" w:hAnsi="Segoe UI" w:cs="Segoe UI"/>
          <w:sz w:val="20"/>
        </w:rPr>
      </w:pPr>
    </w:p>
    <w:p w:rsidR="00C13421" w:rsidRDefault="00C13421" w:rsidP="006F2C9A">
      <w:pPr>
        <w:rPr>
          <w:rFonts w:ascii="Segoe UI" w:hAnsi="Segoe UI" w:cs="Segoe UI"/>
          <w:sz w:val="20"/>
        </w:rPr>
      </w:pPr>
    </w:p>
    <w:p w:rsidR="006F2C9A" w:rsidRDefault="006F2C9A" w:rsidP="006F2C9A">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Cycle</w:t>
      </w:r>
    </w:p>
    <w:p w:rsidR="006F2C9A" w:rsidRDefault="006F2C9A" w:rsidP="006F2C9A">
      <w:pPr>
        <w:rPr>
          <w:rFonts w:ascii="Segoe UI" w:hAnsi="Segoe UI" w:cs="Segoe UI"/>
          <w:sz w:val="20"/>
        </w:rPr>
      </w:pPr>
    </w:p>
    <w:p w:rsidR="006F2C9A" w:rsidRPr="006D6F09" w:rsidRDefault="006F2C9A" w:rsidP="006F2C9A">
      <w:pPr>
        <w:rPr>
          <w:rFonts w:ascii="Segoe UI" w:hAnsi="Segoe UI" w:cs="Segoe UI"/>
          <w:sz w:val="20"/>
        </w:rPr>
      </w:pPr>
      <w:r w:rsidRPr="00077094">
        <w:rPr>
          <w:rFonts w:ascii="Segoe UI" w:hAnsi="Segoe UI" w:cs="Segoe UI"/>
          <w:noProof/>
          <w:sz w:val="20"/>
          <w:lang w:eastAsia="en-GB"/>
        </w:rPr>
        <w:drawing>
          <wp:inline distT="0" distB="0" distL="0" distR="0">
            <wp:extent cx="3190875" cy="2743200"/>
            <wp:effectExtent l="19050" t="0" r="9525" b="0"/>
            <wp:docPr id="87"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88"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6F2C9A" w:rsidRDefault="006F2C9A" w:rsidP="006F2C9A">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F2C9A" w:rsidRDefault="006F2C9A" w:rsidP="006F2C9A">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Car</w:t>
      </w:r>
    </w:p>
    <w:p w:rsidR="006F2C9A" w:rsidRDefault="006F2C9A" w:rsidP="006F2C9A">
      <w:pPr>
        <w:rPr>
          <w:rFonts w:ascii="Segoe UI" w:hAnsi="Segoe UI" w:cs="Segoe UI"/>
          <w:sz w:val="20"/>
        </w:rPr>
      </w:pPr>
    </w:p>
    <w:p w:rsidR="006F2C9A" w:rsidRDefault="006F2C9A" w:rsidP="006F2C9A">
      <w:pPr>
        <w:rPr>
          <w:rFonts w:ascii="Segoe UI" w:hAnsi="Segoe UI" w:cs="Segoe UI"/>
          <w:sz w:val="20"/>
        </w:rPr>
      </w:pPr>
      <w:r w:rsidRPr="00F93AE4">
        <w:rPr>
          <w:rFonts w:ascii="Segoe UI" w:hAnsi="Segoe UI" w:cs="Segoe UI"/>
          <w:noProof/>
          <w:sz w:val="20"/>
          <w:lang w:eastAsia="en-GB"/>
        </w:rPr>
        <w:drawing>
          <wp:inline distT="0" distB="0" distL="0" distR="0">
            <wp:extent cx="3190875" cy="2743200"/>
            <wp:effectExtent l="19050" t="0" r="9525" b="0"/>
            <wp:docPr id="89"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90"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6D6F09" w:rsidRDefault="006D6F09" w:rsidP="006D6F09">
      <w:pPr>
        <w:rPr>
          <w:rFonts w:ascii="Segoe UI" w:hAnsi="Segoe UI" w:cs="Segoe UI"/>
          <w:sz w:val="20"/>
        </w:rPr>
      </w:pPr>
    </w:p>
    <w:p w:rsidR="00C13421"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sidR="00182EBD">
        <w:rPr>
          <w:rFonts w:ascii="Segoe UI" w:hAnsi="Segoe UI" w:cs="Segoe UI"/>
          <w:sz w:val="20"/>
          <w:u w:val="single"/>
        </w:rPr>
        <w:t>Food Store</w:t>
      </w:r>
      <w:r w:rsidRPr="008615B3">
        <w:rPr>
          <w:rFonts w:ascii="Segoe UI" w:hAnsi="Segoe UI" w:cs="Segoe UI"/>
          <w:sz w:val="20"/>
        </w:rPr>
        <w:t xml:space="preserve"> by </w:t>
      </w:r>
      <w:r w:rsidR="00182EBD">
        <w:rPr>
          <w:rFonts w:ascii="Segoe UI" w:hAnsi="Segoe UI" w:cs="Segoe UI"/>
          <w:sz w:val="20"/>
        </w:rPr>
        <w:t>Public Transport/Walk</w:t>
      </w:r>
    </w:p>
    <w:p w:rsidR="00182EBD" w:rsidRPr="006D6F09" w:rsidRDefault="00182EBD" w:rsidP="006D6F09">
      <w:pPr>
        <w:rPr>
          <w:rFonts w:ascii="Segoe UI" w:hAnsi="Segoe UI" w:cs="Segoe UI"/>
          <w:sz w:val="20"/>
        </w:rPr>
      </w:pPr>
    </w:p>
    <w:p w:rsidR="006D6F09" w:rsidRDefault="00182EBD" w:rsidP="006D6F09">
      <w:pPr>
        <w:rPr>
          <w:rFonts w:ascii="Segoe UI" w:hAnsi="Segoe UI" w:cs="Segoe UI"/>
          <w:sz w:val="20"/>
        </w:rPr>
      </w:pPr>
      <w:r w:rsidRPr="00182EBD">
        <w:rPr>
          <w:rFonts w:ascii="Segoe UI" w:hAnsi="Segoe UI" w:cs="Segoe UI"/>
          <w:noProof/>
          <w:sz w:val="20"/>
          <w:lang w:eastAsia="en-GB"/>
        </w:rPr>
        <w:drawing>
          <wp:inline distT="0" distB="0" distL="0" distR="0">
            <wp:extent cx="3124200" cy="2743200"/>
            <wp:effectExtent l="19050" t="0" r="19050" b="0"/>
            <wp:docPr id="6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sidRPr="00182EBD">
        <w:rPr>
          <w:noProof/>
          <w:lang w:eastAsia="en-GB"/>
        </w:rPr>
        <w:t xml:space="preserve"> </w:t>
      </w:r>
      <w:r w:rsidRPr="00182EBD">
        <w:rPr>
          <w:rFonts w:ascii="Segoe UI" w:hAnsi="Segoe UI" w:cs="Segoe UI"/>
          <w:noProof/>
          <w:sz w:val="20"/>
          <w:lang w:eastAsia="en-GB"/>
        </w:rPr>
        <w:drawing>
          <wp:inline distT="0" distB="0" distL="0" distR="0">
            <wp:extent cx="3124200" cy="2743200"/>
            <wp:effectExtent l="19050" t="0" r="19050" b="0"/>
            <wp:docPr id="6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182EBD" w:rsidRDefault="00182EBD" w:rsidP="00182EBD">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182EBD" w:rsidRDefault="00182EBD" w:rsidP="00182EBD">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Cycle</w:t>
      </w:r>
    </w:p>
    <w:p w:rsidR="00182EBD" w:rsidRPr="006D6F09" w:rsidRDefault="00182EBD" w:rsidP="00182EBD">
      <w:pPr>
        <w:rPr>
          <w:rFonts w:ascii="Segoe UI" w:hAnsi="Segoe UI" w:cs="Segoe UI"/>
          <w:sz w:val="20"/>
        </w:rPr>
      </w:pPr>
    </w:p>
    <w:p w:rsidR="00A67FA7" w:rsidRDefault="00182EBD">
      <w:pPr>
        <w:rPr>
          <w:rFonts w:ascii="Segoe UI" w:hAnsi="Segoe UI" w:cs="Segoe UI"/>
        </w:rPr>
      </w:pPr>
      <w:r w:rsidRPr="00182EBD">
        <w:rPr>
          <w:rFonts w:ascii="Segoe UI" w:hAnsi="Segoe UI" w:cs="Segoe UI"/>
          <w:noProof/>
          <w:lang w:eastAsia="en-GB"/>
        </w:rPr>
        <w:drawing>
          <wp:inline distT="0" distB="0" distL="0" distR="0">
            <wp:extent cx="3124200" cy="2743200"/>
            <wp:effectExtent l="19050" t="0" r="19050" b="0"/>
            <wp:docPr id="6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rsidRPr="00182EBD">
        <w:rPr>
          <w:noProof/>
          <w:lang w:eastAsia="en-GB"/>
        </w:rPr>
        <w:t xml:space="preserve"> </w:t>
      </w:r>
      <w:r w:rsidRPr="00182EBD">
        <w:rPr>
          <w:rFonts w:ascii="Segoe UI" w:hAnsi="Segoe UI" w:cs="Segoe UI"/>
          <w:noProof/>
          <w:lang w:eastAsia="en-GB"/>
        </w:rPr>
        <w:drawing>
          <wp:inline distT="0" distB="0" distL="0" distR="0">
            <wp:extent cx="3124200" cy="2743200"/>
            <wp:effectExtent l="19050" t="0" r="19050" b="0"/>
            <wp:docPr id="6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7F5F54" w:rsidRDefault="007F5F54" w:rsidP="007F5F54">
      <w:pPr>
        <w:rPr>
          <w:rFonts w:ascii="Segoe UI" w:hAnsi="Segoe UI" w:cs="Segoe UI"/>
          <w:sz w:val="20"/>
        </w:rPr>
      </w:pPr>
    </w:p>
    <w:p w:rsidR="00C13421" w:rsidRDefault="00C13421" w:rsidP="007F5F54">
      <w:pPr>
        <w:rPr>
          <w:rFonts w:ascii="Segoe UI" w:hAnsi="Segoe UI" w:cs="Segoe UI"/>
          <w:sz w:val="20"/>
        </w:rPr>
      </w:pPr>
    </w:p>
    <w:p w:rsidR="007F5F54" w:rsidRDefault="007F5F54" w:rsidP="007F5F5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Car</w:t>
      </w:r>
    </w:p>
    <w:p w:rsidR="007F5F54" w:rsidRDefault="007F5F54" w:rsidP="007F5F54">
      <w:pPr>
        <w:rPr>
          <w:rFonts w:ascii="Segoe UI" w:hAnsi="Segoe UI" w:cs="Segoe UI"/>
          <w:sz w:val="20"/>
        </w:rPr>
      </w:pPr>
    </w:p>
    <w:p w:rsidR="007F5F54" w:rsidRDefault="007F5F54" w:rsidP="007F5F54">
      <w:pPr>
        <w:rPr>
          <w:rFonts w:ascii="Segoe UI" w:hAnsi="Segoe UI" w:cs="Segoe UI"/>
          <w:sz w:val="20"/>
        </w:rPr>
      </w:pPr>
      <w:r w:rsidRPr="007F5F54">
        <w:rPr>
          <w:rFonts w:ascii="Segoe UI" w:hAnsi="Segoe UI" w:cs="Segoe UI"/>
          <w:noProof/>
          <w:sz w:val="20"/>
          <w:lang w:eastAsia="en-GB"/>
        </w:rPr>
        <w:drawing>
          <wp:inline distT="0" distB="0" distL="0" distR="0">
            <wp:extent cx="3124200" cy="2743200"/>
            <wp:effectExtent l="19050" t="0" r="19050" b="0"/>
            <wp:docPr id="6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sidRPr="007F5F54">
        <w:rPr>
          <w:noProof/>
          <w:lang w:eastAsia="en-GB"/>
        </w:rPr>
        <w:t xml:space="preserve"> </w:t>
      </w:r>
      <w:r w:rsidRPr="007F5F54">
        <w:rPr>
          <w:rFonts w:ascii="Segoe UI" w:hAnsi="Segoe UI" w:cs="Segoe UI"/>
          <w:noProof/>
          <w:sz w:val="20"/>
          <w:lang w:eastAsia="en-GB"/>
        </w:rPr>
        <w:drawing>
          <wp:inline distT="0" distB="0" distL="0" distR="0">
            <wp:extent cx="3124200" cy="2743200"/>
            <wp:effectExtent l="19050" t="0" r="19050" b="0"/>
            <wp:docPr id="6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Public Transport/Walk</w:t>
      </w:r>
    </w:p>
    <w:p w:rsidR="00C027BE" w:rsidRPr="006D6F09" w:rsidRDefault="00C027BE" w:rsidP="00C027BE">
      <w:pPr>
        <w:rPr>
          <w:rFonts w:ascii="Segoe UI" w:hAnsi="Segoe UI" w:cs="Segoe UI"/>
          <w:sz w:val="20"/>
        </w:rPr>
      </w:pPr>
    </w:p>
    <w:p w:rsidR="007D3509" w:rsidRDefault="00C027BE">
      <w:pPr>
        <w:rPr>
          <w:rFonts w:ascii="Segoe UI" w:hAnsi="Segoe UI" w:cs="Segoe UI"/>
        </w:rPr>
      </w:pPr>
      <w:r w:rsidRPr="00C027BE">
        <w:rPr>
          <w:rFonts w:ascii="Segoe UI" w:hAnsi="Segoe UI" w:cs="Segoe UI"/>
          <w:noProof/>
          <w:lang w:eastAsia="en-GB"/>
        </w:rPr>
        <w:drawing>
          <wp:inline distT="0" distB="0" distL="0" distR="0">
            <wp:extent cx="3124200" cy="2743200"/>
            <wp:effectExtent l="19050" t="0" r="19050" b="0"/>
            <wp:docPr id="6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24200" cy="2743200"/>
            <wp:effectExtent l="19050" t="0" r="19050" b="0"/>
            <wp:docPr id="6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C027BE" w:rsidRDefault="00C027BE" w:rsidP="00C027BE">
      <w:pPr>
        <w:rPr>
          <w:rFonts w:ascii="Segoe UI" w:hAnsi="Segoe UI" w:cs="Segoe UI"/>
          <w:sz w:val="20"/>
        </w:rPr>
      </w:pPr>
    </w:p>
    <w:p w:rsidR="00C13421" w:rsidRDefault="00C13421" w:rsidP="00C027BE">
      <w:pPr>
        <w:rPr>
          <w:rFonts w:ascii="Segoe UI" w:hAnsi="Segoe UI" w:cs="Segoe UI"/>
          <w:sz w:val="20"/>
        </w:rPr>
      </w:pPr>
    </w:p>
    <w:p w:rsidR="00C027BE" w:rsidRDefault="00C027BE" w:rsidP="00C027BE">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Cycle</w:t>
      </w:r>
    </w:p>
    <w:p w:rsidR="00C027BE" w:rsidRPr="006D6F09" w:rsidRDefault="00C027BE" w:rsidP="00C027BE">
      <w:pPr>
        <w:rPr>
          <w:rFonts w:ascii="Segoe UI" w:hAnsi="Segoe UI" w:cs="Segoe UI"/>
          <w:sz w:val="20"/>
        </w:rPr>
      </w:pPr>
    </w:p>
    <w:p w:rsidR="002408BD" w:rsidRDefault="00C027BE">
      <w:pPr>
        <w:rPr>
          <w:noProof/>
          <w:lang w:eastAsia="en-GB"/>
        </w:rPr>
      </w:pPr>
      <w:r w:rsidRPr="00C027BE">
        <w:rPr>
          <w:rFonts w:ascii="Segoe UI" w:hAnsi="Segoe UI" w:cs="Segoe UI"/>
          <w:noProof/>
          <w:lang w:eastAsia="en-GB"/>
        </w:rPr>
        <w:drawing>
          <wp:inline distT="0" distB="0" distL="0" distR="0">
            <wp:extent cx="3190875" cy="2743200"/>
            <wp:effectExtent l="19050" t="0" r="9525" b="0"/>
            <wp:docPr id="7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90875" cy="2743200"/>
            <wp:effectExtent l="19050" t="0" r="9525" b="0"/>
            <wp:docPr id="7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Car</w:t>
      </w:r>
    </w:p>
    <w:p w:rsidR="00C027BE" w:rsidRDefault="00C027BE" w:rsidP="00C027BE">
      <w:pPr>
        <w:rPr>
          <w:rFonts w:ascii="Segoe UI" w:hAnsi="Segoe UI" w:cs="Segoe UI"/>
          <w:sz w:val="20"/>
        </w:rPr>
      </w:pPr>
    </w:p>
    <w:p w:rsidR="00C027BE" w:rsidRDefault="00C027BE" w:rsidP="00C027BE">
      <w:pPr>
        <w:rPr>
          <w:noProof/>
          <w:lang w:eastAsia="en-GB"/>
        </w:rPr>
      </w:pPr>
      <w:r w:rsidRPr="00C027BE">
        <w:rPr>
          <w:rFonts w:ascii="Segoe UI" w:hAnsi="Segoe UI" w:cs="Segoe UI"/>
          <w:noProof/>
          <w:sz w:val="20"/>
          <w:lang w:eastAsia="en-GB"/>
        </w:rPr>
        <w:drawing>
          <wp:inline distT="0" distB="0" distL="0" distR="0">
            <wp:extent cx="3190875" cy="2743200"/>
            <wp:effectExtent l="19050" t="0" r="9525" b="0"/>
            <wp:docPr id="7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r w:rsidRPr="00C027BE">
        <w:rPr>
          <w:noProof/>
          <w:lang w:eastAsia="en-GB"/>
        </w:rPr>
        <w:t xml:space="preserve"> </w:t>
      </w:r>
      <w:r w:rsidRPr="00C027BE">
        <w:rPr>
          <w:rFonts w:ascii="Segoe UI" w:hAnsi="Segoe UI" w:cs="Segoe UI"/>
          <w:noProof/>
          <w:sz w:val="20"/>
          <w:lang w:eastAsia="en-GB"/>
        </w:rPr>
        <w:drawing>
          <wp:inline distT="0" distB="0" distL="0" distR="0">
            <wp:extent cx="3190875" cy="2743200"/>
            <wp:effectExtent l="19050" t="0" r="9525" b="0"/>
            <wp:docPr id="7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077094" w:rsidRDefault="00077094" w:rsidP="00077094">
      <w:pPr>
        <w:rPr>
          <w:rFonts w:ascii="Segoe UI" w:hAnsi="Segoe UI" w:cs="Segoe UI"/>
          <w:sz w:val="20"/>
        </w:rPr>
      </w:pPr>
    </w:p>
    <w:p w:rsidR="00A55118" w:rsidRDefault="00A55118" w:rsidP="00077094">
      <w:pPr>
        <w:rPr>
          <w:rFonts w:ascii="Segoe UI" w:hAnsi="Segoe UI" w:cs="Segoe UI"/>
          <w:sz w:val="20"/>
        </w:rPr>
      </w:pPr>
    </w:p>
    <w:p w:rsidR="00A55118" w:rsidRDefault="00A55118">
      <w:pPr>
        <w:rPr>
          <w:rFonts w:ascii="Segoe UI" w:hAnsi="Segoe UI" w:cs="Segoe UI"/>
        </w:rPr>
      </w:pPr>
      <w:r>
        <w:rPr>
          <w:rFonts w:ascii="Segoe UI" w:hAnsi="Segoe UI" w:cs="Segoe UI"/>
        </w:rPr>
        <w:br w:type="page"/>
      </w:r>
    </w:p>
    <w:p w:rsidR="008D66C0" w:rsidRPr="00F624C0" w:rsidRDefault="00214346">
      <w:pPr>
        <w:rPr>
          <w:rFonts w:ascii="Segoe UI" w:hAnsi="Segoe UI" w:cs="Segoe UI"/>
          <w:b/>
          <w:u w:val="single"/>
        </w:rPr>
      </w:pPr>
      <w:bookmarkStart w:id="1" w:name="Motor"/>
      <w:bookmarkEnd w:id="1"/>
      <w:r>
        <w:rPr>
          <w:rFonts w:ascii="Segoe UI" w:hAnsi="Segoe UI" w:cs="Segoe UI"/>
          <w:b/>
          <w:u w:val="single"/>
        </w:rPr>
        <w:lastRenderedPageBreak/>
        <w:t>Motor vehicle traffic</w:t>
      </w:r>
    </w:p>
    <w:p w:rsidR="00F624C0" w:rsidRDefault="00F624C0">
      <w:pPr>
        <w:rPr>
          <w:rFonts w:ascii="Segoe UI" w:hAnsi="Segoe UI" w:cs="Segoe UI"/>
          <w:sz w:val="20"/>
        </w:rPr>
      </w:pPr>
    </w:p>
    <w:p w:rsidR="00A55118" w:rsidRDefault="00A55118">
      <w:pPr>
        <w:rPr>
          <w:rFonts w:ascii="Segoe UI" w:hAnsi="Segoe UI" w:cs="Segoe UI"/>
          <w:sz w:val="20"/>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57557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58218</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59684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60993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62470</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120136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119953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122940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124353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126852</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E930B7" w:rsidP="00A55118">
            <w:pPr>
              <w:spacing w:after="0" w:line="240" w:lineRule="auto"/>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Unitary Authority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E930B7" w:rsidP="00A55118">
            <w:pPr>
              <w:spacing w:after="0" w:line="240" w:lineRule="auto"/>
              <w:jc w:val="right"/>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58986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E930B7" w:rsidP="00A55118">
            <w:pPr>
              <w:spacing w:after="0" w:line="240" w:lineRule="auto"/>
              <w:jc w:val="right"/>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59159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E930B7" w:rsidP="00A55118">
            <w:pPr>
              <w:spacing w:after="0" w:line="240" w:lineRule="auto"/>
              <w:jc w:val="right"/>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60791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E930B7" w:rsidP="00A55118">
            <w:pPr>
              <w:spacing w:after="0" w:line="240" w:lineRule="auto"/>
              <w:jc w:val="right"/>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61772</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E930B7" w:rsidP="00A55118">
            <w:pPr>
              <w:spacing w:after="0" w:line="240" w:lineRule="auto"/>
              <w:jc w:val="right"/>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63130</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E930B7" w:rsidP="00A55118">
            <w:pPr>
              <w:spacing w:after="0" w:line="240" w:lineRule="auto"/>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Cheshire East</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E930B7" w:rsidP="00A55118">
            <w:pPr>
              <w:spacing w:after="0" w:line="240" w:lineRule="auto"/>
              <w:jc w:val="right"/>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2738</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E930B7" w:rsidP="00A55118">
            <w:pPr>
              <w:spacing w:after="0" w:line="240" w:lineRule="auto"/>
              <w:jc w:val="right"/>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2747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E930B7" w:rsidP="00A55118">
            <w:pPr>
              <w:spacing w:after="0" w:line="240" w:lineRule="auto"/>
              <w:jc w:val="right"/>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2859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E930B7" w:rsidP="00A55118">
            <w:pPr>
              <w:spacing w:after="0" w:line="240" w:lineRule="auto"/>
              <w:jc w:val="right"/>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2864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E930B7" w:rsidP="00A55118">
            <w:pPr>
              <w:spacing w:after="0" w:line="240" w:lineRule="auto"/>
              <w:jc w:val="right"/>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2880</w:t>
            </w:r>
          </w:p>
        </w:tc>
      </w:tr>
    </w:tbl>
    <w:p w:rsidR="00A55118" w:rsidRDefault="00A55118">
      <w:pPr>
        <w:rPr>
          <w:rFonts w:ascii="Segoe UI" w:hAnsi="Segoe UI" w:cs="Segoe UI"/>
          <w:sz w:val="20"/>
        </w:rPr>
      </w:pPr>
    </w:p>
    <w:p w:rsid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A55118" w:rsidRDefault="00A55118">
      <w:pPr>
        <w:rPr>
          <w:rFonts w:ascii="Segoe UI" w:hAnsi="Segoe UI" w:cs="Segoe UI"/>
          <w:sz w:val="20"/>
        </w:rPr>
      </w:pPr>
    </w:p>
    <w:p w:rsidR="00A55118" w:rsidRP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2" name="Chart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445CF6" w:rsidRDefault="00445CF6">
      <w:pPr>
        <w:rPr>
          <w:rFonts w:ascii="Segoe UI" w:hAnsi="Segoe UI" w:cs="Segoe UI"/>
        </w:rPr>
      </w:pPr>
    </w:p>
    <w:p w:rsidR="001F4A28" w:rsidRDefault="001F4A28">
      <w:pPr>
        <w:rPr>
          <w:rFonts w:ascii="Segoe UI" w:hAnsi="Segoe UI" w:cs="Segoe UI"/>
        </w:rPr>
      </w:pPr>
    </w:p>
    <w:p w:rsidR="00616D21" w:rsidRDefault="00616D21">
      <w:pPr>
        <w:rPr>
          <w:rFonts w:ascii="Segoe UI" w:hAnsi="Segoe UI" w:cs="Segoe UI"/>
        </w:rPr>
      </w:pPr>
    </w:p>
    <w:p w:rsidR="00A55118" w:rsidRDefault="00A55118">
      <w:pPr>
        <w:rPr>
          <w:rFonts w:ascii="Segoe UI" w:hAnsi="Segoe UI" w:cs="Segoe UI"/>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Car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44873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45190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46126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46785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47789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96721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96181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97976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98735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100609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E930B7" w:rsidP="00A55118">
            <w:pPr>
              <w:spacing w:after="0" w:line="240" w:lineRule="auto"/>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Unitary Authority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E930B7" w:rsidP="00A55118">
            <w:pPr>
              <w:spacing w:after="0" w:line="240" w:lineRule="auto"/>
              <w:jc w:val="right"/>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47228</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E930B7" w:rsidP="00A55118">
            <w:pPr>
              <w:spacing w:after="0" w:line="240" w:lineRule="auto"/>
              <w:jc w:val="right"/>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47145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E930B7" w:rsidP="00A55118">
            <w:pPr>
              <w:spacing w:after="0" w:line="240" w:lineRule="auto"/>
              <w:jc w:val="right"/>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48225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E930B7" w:rsidP="00A55118">
            <w:pPr>
              <w:spacing w:after="0" w:line="240" w:lineRule="auto"/>
              <w:jc w:val="right"/>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48731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E930B7" w:rsidP="00A55118">
            <w:pPr>
              <w:spacing w:after="0" w:line="240" w:lineRule="auto"/>
              <w:jc w:val="right"/>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49741</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E930B7" w:rsidP="00A55118">
            <w:pPr>
              <w:spacing w:after="0" w:line="240" w:lineRule="auto"/>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Cheshire East</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E930B7" w:rsidP="00A55118">
            <w:pPr>
              <w:spacing w:after="0" w:line="240" w:lineRule="auto"/>
              <w:jc w:val="right"/>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2173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E930B7" w:rsidP="00A55118">
            <w:pPr>
              <w:spacing w:after="0" w:line="240" w:lineRule="auto"/>
              <w:jc w:val="right"/>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2167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E930B7" w:rsidP="00A55118">
            <w:pPr>
              <w:spacing w:after="0" w:line="240" w:lineRule="auto"/>
              <w:jc w:val="right"/>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2253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E930B7" w:rsidP="00A55118">
            <w:pPr>
              <w:spacing w:after="0" w:line="240" w:lineRule="auto"/>
              <w:jc w:val="right"/>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2223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E930B7" w:rsidP="00A55118">
            <w:pPr>
              <w:spacing w:after="0" w:line="240" w:lineRule="auto"/>
              <w:jc w:val="right"/>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2237</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A55118" w:rsidRDefault="00A55118">
      <w:pPr>
        <w:rPr>
          <w:rFonts w:ascii="Segoe UI" w:hAnsi="Segoe UI" w:cs="Segoe UI"/>
        </w:rPr>
      </w:pPr>
    </w:p>
    <w:p w:rsidR="00445CF6"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A55118" w:rsidRDefault="00A55118">
      <w:pPr>
        <w:rPr>
          <w:rFonts w:ascii="Segoe UI" w:hAnsi="Segoe UI" w:cs="Segoe UI"/>
        </w:rPr>
      </w:pPr>
    </w:p>
    <w:p w:rsidR="00A55118" w:rsidRDefault="00A55118">
      <w:pPr>
        <w:rPr>
          <w:rFonts w:ascii="Segoe UI" w:hAnsi="Segoe UI" w:cs="Segoe UI"/>
        </w:rPr>
      </w:pPr>
      <w:r>
        <w:rPr>
          <w:rFonts w:ascii="Segoe UI" w:hAnsi="Segoe UI" w:cs="Segoe UI"/>
        </w:rPr>
        <w:br w:type="page"/>
      </w:r>
    </w:p>
    <w:tbl>
      <w:tblPr>
        <w:tblW w:w="9365" w:type="dxa"/>
        <w:tblInd w:w="108" w:type="dxa"/>
        <w:tblLook w:val="04A0"/>
      </w:tblPr>
      <w:tblGrid>
        <w:gridCol w:w="4095"/>
        <w:gridCol w:w="1054"/>
        <w:gridCol w:w="1054"/>
        <w:gridCol w:w="1054"/>
        <w:gridCol w:w="1054"/>
        <w:gridCol w:w="1054"/>
      </w:tblGrid>
      <w:tr w:rsidR="00A55118" w:rsidRPr="00A55118" w:rsidTr="00A55118">
        <w:trPr>
          <w:trHeight w:val="300"/>
        </w:trPr>
        <w:tc>
          <w:tcPr>
            <w:tcW w:w="4095"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527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 excluding trunk roads</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39056</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39428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40660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41371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42317</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88003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87561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89587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90148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91772</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E930B7" w:rsidP="00A55118">
            <w:pPr>
              <w:spacing w:after="0" w:line="240" w:lineRule="auto"/>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Unitary Authority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E930B7" w:rsidP="00A55118">
            <w:pPr>
              <w:spacing w:after="0" w:line="240" w:lineRule="auto"/>
              <w:jc w:val="right"/>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40600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E930B7" w:rsidP="00A55118">
            <w:pPr>
              <w:spacing w:after="0" w:line="240" w:lineRule="auto"/>
              <w:jc w:val="right"/>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40551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E930B7" w:rsidP="00A55118">
            <w:pPr>
              <w:spacing w:after="0" w:line="240" w:lineRule="auto"/>
              <w:jc w:val="right"/>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41733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E930B7" w:rsidP="00A55118">
            <w:pPr>
              <w:spacing w:after="0" w:line="240" w:lineRule="auto"/>
              <w:jc w:val="right"/>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42188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E930B7" w:rsidP="00A55118">
            <w:pPr>
              <w:spacing w:after="0" w:line="240" w:lineRule="auto"/>
              <w:jc w:val="right"/>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43095</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E930B7" w:rsidP="00A55118">
            <w:pPr>
              <w:spacing w:after="0" w:line="240" w:lineRule="auto"/>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Cheshire East</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E930B7" w:rsidP="00A55118">
            <w:pPr>
              <w:spacing w:after="0" w:line="240" w:lineRule="auto"/>
              <w:jc w:val="right"/>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1574</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E930B7" w:rsidP="00A55118">
            <w:pPr>
              <w:spacing w:after="0" w:line="240" w:lineRule="auto"/>
              <w:jc w:val="right"/>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1563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E930B7" w:rsidP="00A55118">
            <w:pPr>
              <w:spacing w:after="0" w:line="240" w:lineRule="auto"/>
              <w:jc w:val="right"/>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1614</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E930B7" w:rsidP="00A55118">
            <w:pPr>
              <w:spacing w:after="0" w:line="240" w:lineRule="auto"/>
              <w:jc w:val="right"/>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1617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E930B7" w:rsidP="00A55118">
            <w:pPr>
              <w:spacing w:after="0" w:line="240" w:lineRule="auto"/>
              <w:jc w:val="right"/>
              <w:rPr>
                <w:rFonts w:ascii="Tahoma" w:eastAsia="Times New Roman" w:hAnsi="Tahoma" w:cs="Tahoma"/>
                <w:color w:val="000000"/>
                <w:sz w:val="16"/>
                <w:szCs w:val="16"/>
                <w:lang w:eastAsia="en-GB"/>
              </w:rPr>
            </w:pPr>
            <w:r>
              <w:rPr>
                <w:rFonts w:ascii="Tahoma" w:eastAsia="Times New Roman" w:hAnsi="Tahoma" w:cs="Tahoma"/>
                <w:color w:val="000000"/>
                <w:sz w:val="16"/>
                <w:szCs w:val="16"/>
                <w:lang w:eastAsia="en-GB"/>
              </w:rPr>
              <w:t>1667</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5" name="Chart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616D21" w:rsidRDefault="00616D21">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6" name="Chart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EB236D" w:rsidRDefault="00EB236D">
      <w:pPr>
        <w:rPr>
          <w:rFonts w:ascii="Segoe UI" w:hAnsi="Segoe UI" w:cs="Segoe UI"/>
        </w:rPr>
      </w:pPr>
    </w:p>
    <w:p w:rsidR="00630C41" w:rsidRDefault="00630C41">
      <w:pPr>
        <w:rPr>
          <w:rFonts w:ascii="Segoe UI" w:hAnsi="Segoe UI" w:cs="Segoe UI"/>
        </w:rPr>
      </w:pPr>
      <w:r>
        <w:rPr>
          <w:rFonts w:ascii="Segoe UI" w:hAnsi="Segoe UI" w:cs="Segoe UI"/>
        </w:rPr>
        <w:br w:type="page"/>
      </w:r>
    </w:p>
    <w:p w:rsidR="00EB236D" w:rsidRDefault="00630C41">
      <w:pPr>
        <w:rPr>
          <w:rFonts w:ascii="Segoe UI" w:hAnsi="Segoe UI" w:cs="Segoe UI"/>
        </w:rPr>
      </w:pPr>
      <w:r w:rsidRPr="00630C41">
        <w:rPr>
          <w:rFonts w:ascii="Segoe UI" w:hAnsi="Segoe UI" w:cs="Segoe UI"/>
          <w:noProof/>
          <w:lang w:eastAsia="en-GB"/>
        </w:rPr>
        <w:lastRenderedPageBreak/>
        <w:drawing>
          <wp:inline distT="0" distB="0" distL="0" distR="0">
            <wp:extent cx="5753100" cy="2743200"/>
            <wp:effectExtent l="19050" t="0" r="19050" b="0"/>
            <wp:docPr id="97" name="Chart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C13421" w:rsidRDefault="00C13421" w:rsidP="009504FF">
      <w:pPr>
        <w:rPr>
          <w:rFonts w:ascii="Segoe UI" w:hAnsi="Segoe UI" w:cs="Segoe UI"/>
          <w:i/>
          <w:sz w:val="18"/>
        </w:rPr>
      </w:pPr>
    </w:p>
    <w:p w:rsidR="009504FF" w:rsidRPr="009504FF" w:rsidRDefault="00C13421" w:rsidP="009504FF">
      <w:pPr>
        <w:rPr>
          <w:rFonts w:ascii="Segoe UI" w:hAnsi="Segoe UI" w:cs="Segoe UI"/>
          <w:i/>
          <w:sz w:val="18"/>
        </w:rPr>
      </w:pPr>
      <w:r>
        <w:rPr>
          <w:rFonts w:ascii="Segoe UI" w:hAnsi="Segoe UI" w:cs="Segoe UI"/>
          <w:i/>
          <w:sz w:val="18"/>
        </w:rPr>
        <w:t xml:space="preserve">Motor Vehicle Flow - </w:t>
      </w:r>
      <w:r w:rsidR="009504FF" w:rsidRPr="009504FF">
        <w:rPr>
          <w:rFonts w:ascii="Segoe UI" w:hAnsi="Segoe UI" w:cs="Segoe UI"/>
          <w:i/>
          <w:sz w:val="18"/>
        </w:rPr>
        <w:t>The number of vehicles passing in 24 hours at an average point on the road network in each local authority. This controls for differing length of road in each authority, providing a measure of how heavily used the roads are.</w:t>
      </w:r>
    </w:p>
    <w:p w:rsidR="00616D21" w:rsidRPr="009504FF" w:rsidRDefault="009504FF" w:rsidP="009504FF">
      <w:pPr>
        <w:rPr>
          <w:rFonts w:ascii="Segoe UI" w:hAnsi="Segoe UI" w:cs="Segoe UI"/>
          <w:i/>
          <w:sz w:val="18"/>
        </w:rPr>
      </w:pPr>
      <w:r w:rsidRPr="009504FF">
        <w:rPr>
          <w:rFonts w:ascii="Segoe UI" w:hAnsi="Segoe UI" w:cs="Segoe UI"/>
          <w:i/>
          <w:sz w:val="18"/>
        </w:rPr>
        <w:t>It is calculated by dividing the estimate of annual vehicle miles in each local authority by the length of road in that authority and number of days in the year</w:t>
      </w:r>
    </w:p>
    <w:p w:rsidR="00EB236D" w:rsidRDefault="00EB236D">
      <w:pPr>
        <w:rPr>
          <w:rFonts w:ascii="Segoe UI" w:hAnsi="Segoe UI" w:cs="Segoe UI"/>
        </w:rPr>
      </w:pPr>
    </w:p>
    <w:p w:rsidR="00616D21" w:rsidRDefault="00616D21">
      <w:pPr>
        <w:rPr>
          <w:rFonts w:ascii="Segoe UI" w:hAnsi="Segoe UI" w:cs="Segoe UI"/>
        </w:rPr>
      </w:pPr>
    </w:p>
    <w:p w:rsidR="002D62CB" w:rsidRDefault="002D62CB">
      <w:pPr>
        <w:rPr>
          <w:rFonts w:ascii="Segoe UI" w:hAnsi="Segoe UI" w:cs="Segoe UI"/>
        </w:rPr>
      </w:pPr>
    </w:p>
    <w:p w:rsidR="00765529" w:rsidRDefault="00765529">
      <w:pPr>
        <w:rPr>
          <w:rFonts w:ascii="Segoe UI" w:hAnsi="Segoe UI" w:cs="Segoe UI"/>
        </w:rPr>
      </w:pPr>
    </w:p>
    <w:p w:rsidR="00C13421" w:rsidRDefault="00C13421">
      <w:pPr>
        <w:rPr>
          <w:rFonts w:ascii="Segoe UI" w:hAnsi="Segoe UI" w:cs="Segoe UI"/>
          <w:b/>
          <w:u w:val="single"/>
        </w:rPr>
      </w:pPr>
      <w:bookmarkStart w:id="2" w:name="Road"/>
      <w:bookmarkEnd w:id="2"/>
      <w:r>
        <w:rPr>
          <w:rFonts w:ascii="Segoe UI" w:hAnsi="Segoe UI" w:cs="Segoe UI"/>
          <w:b/>
          <w:u w:val="single"/>
        </w:rPr>
        <w:br w:type="page"/>
      </w:r>
    </w:p>
    <w:p w:rsidR="00B66EC4" w:rsidRDefault="00214346">
      <w:pPr>
        <w:rPr>
          <w:rFonts w:ascii="Segoe UI" w:hAnsi="Segoe UI" w:cs="Segoe UI"/>
          <w:b/>
          <w:u w:val="single"/>
        </w:rPr>
      </w:pPr>
      <w:r>
        <w:rPr>
          <w:rFonts w:ascii="Segoe UI" w:hAnsi="Segoe UI" w:cs="Segoe UI"/>
          <w:b/>
          <w:u w:val="single"/>
        </w:rPr>
        <w:lastRenderedPageBreak/>
        <w:t>Road network</w:t>
      </w:r>
    </w:p>
    <w:p w:rsidR="00357E6D" w:rsidRPr="00357E6D" w:rsidRDefault="00357E6D">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SCANNER (Surface Condition Assessment for the National Network of Roads) data are collected using automated road condition survey machines. Although each machine is accredited for accuracy and readings fall within the accepted boundaries of the SCANNER specification for road condition, there is still variability between the results that each machine delivers. This can lead to changes in the figures over time that are for reasons beyond the condition of the road, and above the expected range of variability that already exists within the data. Caution should therefore be taken when comparing the figu</w:t>
      </w:r>
      <w:r>
        <w:rPr>
          <w:rFonts w:ascii="Segoe UI" w:hAnsi="Segoe UI" w:cs="Segoe UI"/>
          <w:i/>
          <w:sz w:val="16"/>
        </w:rPr>
        <w:t>res across years.  Additionally, a</w:t>
      </w:r>
      <w:r w:rsidRPr="00357E6D">
        <w:rPr>
          <w:rFonts w:ascii="Segoe UI" w:hAnsi="Segoe UI" w:cs="Segoe UI"/>
          <w:i/>
          <w:sz w:val="16"/>
        </w:rPr>
        <w:t>lternative technologies to SCANNER surveys were used to collect data for some local authorities.</w:t>
      </w:r>
      <w:r>
        <w:rPr>
          <w:rFonts w:ascii="Segoe UI" w:hAnsi="Segoe UI" w:cs="Segoe UI"/>
          <w:i/>
          <w:sz w:val="16"/>
        </w:rPr>
        <w:t xml:space="preserve">  The following charts show the data such as it is, but should be read in mind of the caveats as stated.</w:t>
      </w:r>
    </w:p>
    <w:p w:rsidR="00C13421" w:rsidRDefault="00C13421">
      <w:pPr>
        <w:rPr>
          <w:rFonts w:ascii="Segoe UI" w:hAnsi="Segoe UI" w:cs="Segoe UI"/>
        </w:rPr>
      </w:pPr>
    </w:p>
    <w:p w:rsidR="00137983" w:rsidRDefault="00630C41">
      <w:pPr>
        <w:rPr>
          <w:rFonts w:ascii="Segoe UI" w:hAnsi="Segoe UI" w:cs="Segoe UI"/>
        </w:rPr>
      </w:pPr>
      <w:r w:rsidRPr="00630C41">
        <w:rPr>
          <w:rFonts w:ascii="Segoe UI" w:hAnsi="Segoe UI" w:cs="Segoe UI"/>
        </w:rPr>
        <w:t>Principal and non-principal classified roads where maintenance should be considered</w:t>
      </w: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76475"/>
            <wp:effectExtent l="19050" t="0" r="19050" b="0"/>
            <wp:docPr id="98" name="Chart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630C41" w:rsidRDefault="00630C41">
      <w:pPr>
        <w:rPr>
          <w:rFonts w:ascii="Segoe UI" w:hAnsi="Segoe UI" w:cs="Segoe UI"/>
        </w:rPr>
      </w:pP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66950"/>
            <wp:effectExtent l="19050" t="0" r="19050" b="0"/>
            <wp:docPr id="99" name="Chart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630C41" w:rsidRDefault="00630C41">
      <w:pPr>
        <w:rPr>
          <w:rFonts w:ascii="Segoe UI" w:hAnsi="Segoe UI" w:cs="Segoe UI"/>
        </w:rPr>
      </w:pPr>
    </w:p>
    <w:p w:rsidR="00C13421" w:rsidRDefault="00C13421">
      <w:pPr>
        <w:rPr>
          <w:rFonts w:ascii="Segoe UI" w:hAnsi="Segoe UI" w:cs="Segoe UI"/>
        </w:rPr>
      </w:pPr>
      <w:r>
        <w:rPr>
          <w:rFonts w:ascii="Segoe UI" w:hAnsi="Segoe UI" w:cs="Segoe UI"/>
        </w:rPr>
        <w:br w:type="page"/>
      </w:r>
    </w:p>
    <w:p w:rsidR="00630C41" w:rsidRDefault="00630C41">
      <w:pPr>
        <w:rPr>
          <w:rFonts w:ascii="Segoe UI" w:hAnsi="Segoe UI" w:cs="Segoe UI"/>
        </w:rPr>
      </w:pPr>
      <w:r w:rsidRPr="00630C41">
        <w:rPr>
          <w:rFonts w:ascii="Segoe UI" w:hAnsi="Segoe UI" w:cs="Segoe UI"/>
        </w:rPr>
        <w:lastRenderedPageBreak/>
        <w:t>Total road length (miles) by road type</w:t>
      </w:r>
    </w:p>
    <w:tbl>
      <w:tblPr>
        <w:tblW w:w="9923" w:type="dxa"/>
        <w:tblInd w:w="108" w:type="dxa"/>
        <w:tblLook w:val="04A0"/>
      </w:tblPr>
      <w:tblGrid>
        <w:gridCol w:w="2552"/>
        <w:gridCol w:w="2818"/>
        <w:gridCol w:w="2647"/>
        <w:gridCol w:w="1906"/>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Motorways,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motorways</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motorways</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motorways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0</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789.22</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25.72</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814.95</w:t>
            </w:r>
          </w:p>
        </w:tc>
      </w:tr>
      <w:tr w:rsidR="006B3F76"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B3F76" w:rsidRDefault="006B3F76" w:rsidP="006B3F76">
            <w:pPr>
              <w:spacing w:after="100" w:afterAutospacing="1"/>
              <w:rPr>
                <w:rFonts w:ascii="Tahoma" w:hAnsi="Tahoma" w:cs="Tahoma"/>
                <w:color w:val="000000"/>
                <w:sz w:val="16"/>
                <w:szCs w:val="16"/>
              </w:rPr>
            </w:pPr>
            <w:r>
              <w:rPr>
                <w:rFonts w:ascii="Tahoma" w:hAnsi="Tahoma" w:cs="Tahoma"/>
                <w:color w:val="000000"/>
                <w:sz w:val="16"/>
                <w:szCs w:val="16"/>
              </w:rPr>
              <w:t>Unitary Authority total</w:t>
            </w:r>
          </w:p>
        </w:tc>
        <w:tc>
          <w:tcPr>
            <w:tcW w:w="2818" w:type="dxa"/>
            <w:tcBorders>
              <w:top w:val="nil"/>
              <w:left w:val="nil"/>
              <w:bottom w:val="single" w:sz="4" w:space="0" w:color="auto"/>
              <w:right w:val="single" w:sz="4" w:space="0" w:color="auto"/>
            </w:tcBorders>
            <w:shd w:val="clear" w:color="auto" w:fill="auto"/>
            <w:noWrap/>
            <w:vAlign w:val="bottom"/>
            <w:hideMark/>
          </w:tcPr>
          <w:p w:rsidR="006B3F76" w:rsidRDefault="006B3F76" w:rsidP="006B3F76">
            <w:pPr>
              <w:spacing w:after="100" w:afterAutospacing="1"/>
              <w:jc w:val="right"/>
              <w:rPr>
                <w:rFonts w:ascii="Tahoma" w:hAnsi="Tahoma" w:cs="Tahoma"/>
                <w:color w:val="000000"/>
                <w:sz w:val="16"/>
                <w:szCs w:val="16"/>
              </w:rPr>
            </w:pPr>
            <w:r>
              <w:rPr>
                <w:rFonts w:ascii="Tahoma" w:hAnsi="Tahoma" w:cs="Tahoma"/>
                <w:color w:val="000000"/>
                <w:sz w:val="16"/>
                <w:szCs w:val="16"/>
              </w:rPr>
              <w:t>382.16</w:t>
            </w:r>
          </w:p>
        </w:tc>
        <w:tc>
          <w:tcPr>
            <w:tcW w:w="2647" w:type="dxa"/>
            <w:tcBorders>
              <w:top w:val="nil"/>
              <w:left w:val="nil"/>
              <w:bottom w:val="single" w:sz="4" w:space="0" w:color="auto"/>
              <w:right w:val="single" w:sz="4" w:space="0" w:color="auto"/>
            </w:tcBorders>
            <w:shd w:val="clear" w:color="auto" w:fill="auto"/>
            <w:noWrap/>
            <w:vAlign w:val="bottom"/>
            <w:hideMark/>
          </w:tcPr>
          <w:p w:rsidR="006B3F76" w:rsidRDefault="006B3F76" w:rsidP="006B3F76">
            <w:pPr>
              <w:spacing w:after="100" w:afterAutospacing="1"/>
              <w:jc w:val="right"/>
              <w:rPr>
                <w:rFonts w:ascii="Tahoma" w:hAnsi="Tahoma" w:cs="Tahoma"/>
                <w:color w:val="000000"/>
                <w:sz w:val="16"/>
                <w:szCs w:val="16"/>
              </w:rPr>
            </w:pPr>
            <w:r>
              <w:rPr>
                <w:rFonts w:ascii="Tahoma" w:hAnsi="Tahoma" w:cs="Tahoma"/>
                <w:color w:val="000000"/>
                <w:sz w:val="16"/>
                <w:szCs w:val="16"/>
              </w:rPr>
              <w:t>6.84</w:t>
            </w:r>
          </w:p>
        </w:tc>
        <w:tc>
          <w:tcPr>
            <w:tcW w:w="1906" w:type="dxa"/>
            <w:tcBorders>
              <w:top w:val="nil"/>
              <w:left w:val="nil"/>
              <w:bottom w:val="single" w:sz="4" w:space="0" w:color="auto"/>
              <w:right w:val="single" w:sz="4" w:space="0" w:color="auto"/>
            </w:tcBorders>
            <w:shd w:val="clear" w:color="auto" w:fill="auto"/>
            <w:noWrap/>
            <w:vAlign w:val="bottom"/>
            <w:hideMark/>
          </w:tcPr>
          <w:p w:rsidR="006B3F76" w:rsidRDefault="006B3F76" w:rsidP="006B3F76">
            <w:pPr>
              <w:spacing w:after="100" w:afterAutospacing="1"/>
              <w:jc w:val="right"/>
              <w:rPr>
                <w:rFonts w:ascii="Tahoma" w:hAnsi="Tahoma" w:cs="Tahoma"/>
                <w:color w:val="000000"/>
                <w:sz w:val="16"/>
                <w:szCs w:val="16"/>
              </w:rPr>
            </w:pPr>
            <w:r>
              <w:rPr>
                <w:rFonts w:ascii="Tahoma" w:hAnsi="Tahoma" w:cs="Tahoma"/>
                <w:color w:val="000000"/>
                <w:sz w:val="16"/>
                <w:szCs w:val="16"/>
              </w:rPr>
              <w:t>389</w:t>
            </w:r>
          </w:p>
        </w:tc>
      </w:tr>
      <w:tr w:rsidR="006B3F76"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B3F76" w:rsidRDefault="006B3F76" w:rsidP="006B3F76">
            <w:pPr>
              <w:spacing w:after="100" w:afterAutospacing="1"/>
              <w:rPr>
                <w:rFonts w:ascii="Tahoma" w:hAnsi="Tahoma" w:cs="Tahoma"/>
                <w:color w:val="000000"/>
                <w:sz w:val="16"/>
                <w:szCs w:val="16"/>
              </w:rPr>
            </w:pPr>
            <w:r>
              <w:rPr>
                <w:rFonts w:ascii="Tahoma" w:hAnsi="Tahoma" w:cs="Tahoma"/>
                <w:color w:val="000000"/>
                <w:sz w:val="16"/>
                <w:szCs w:val="16"/>
              </w:rPr>
              <w:t>Cheshire East</w:t>
            </w:r>
          </w:p>
        </w:tc>
        <w:tc>
          <w:tcPr>
            <w:tcW w:w="2818" w:type="dxa"/>
            <w:tcBorders>
              <w:top w:val="nil"/>
              <w:left w:val="nil"/>
              <w:bottom w:val="single" w:sz="4" w:space="0" w:color="auto"/>
              <w:right w:val="single" w:sz="4" w:space="0" w:color="auto"/>
            </w:tcBorders>
            <w:shd w:val="clear" w:color="auto" w:fill="auto"/>
            <w:noWrap/>
            <w:vAlign w:val="bottom"/>
            <w:hideMark/>
          </w:tcPr>
          <w:p w:rsidR="006B3F76" w:rsidRDefault="006B3F76" w:rsidP="006B3F76">
            <w:pPr>
              <w:spacing w:after="100" w:afterAutospacing="1"/>
              <w:jc w:val="right"/>
              <w:rPr>
                <w:rFonts w:ascii="Tahoma" w:hAnsi="Tahoma" w:cs="Tahoma"/>
                <w:color w:val="000000"/>
                <w:sz w:val="16"/>
                <w:szCs w:val="16"/>
              </w:rPr>
            </w:pPr>
            <w:r>
              <w:rPr>
                <w:rFonts w:ascii="Tahoma" w:hAnsi="Tahoma" w:cs="Tahoma"/>
                <w:color w:val="000000"/>
                <w:sz w:val="16"/>
                <w:szCs w:val="16"/>
              </w:rPr>
              <w:t>29.39</w:t>
            </w:r>
          </w:p>
        </w:tc>
        <w:tc>
          <w:tcPr>
            <w:tcW w:w="2647" w:type="dxa"/>
            <w:tcBorders>
              <w:top w:val="nil"/>
              <w:left w:val="nil"/>
              <w:bottom w:val="single" w:sz="4" w:space="0" w:color="auto"/>
              <w:right w:val="single" w:sz="4" w:space="0" w:color="auto"/>
            </w:tcBorders>
            <w:shd w:val="clear" w:color="auto" w:fill="auto"/>
            <w:noWrap/>
            <w:vAlign w:val="bottom"/>
            <w:hideMark/>
          </w:tcPr>
          <w:p w:rsidR="006B3F76" w:rsidRDefault="006B3F76" w:rsidP="006B3F76">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1906" w:type="dxa"/>
            <w:tcBorders>
              <w:top w:val="nil"/>
              <w:left w:val="nil"/>
              <w:bottom w:val="single" w:sz="4" w:space="0" w:color="auto"/>
              <w:right w:val="single" w:sz="4" w:space="0" w:color="auto"/>
            </w:tcBorders>
            <w:shd w:val="clear" w:color="auto" w:fill="auto"/>
            <w:noWrap/>
            <w:vAlign w:val="bottom"/>
            <w:hideMark/>
          </w:tcPr>
          <w:p w:rsidR="006B3F76" w:rsidRDefault="006B3F76" w:rsidP="006B3F76">
            <w:pPr>
              <w:spacing w:after="100" w:afterAutospacing="1"/>
              <w:jc w:val="right"/>
              <w:rPr>
                <w:rFonts w:ascii="Tahoma" w:hAnsi="Tahoma" w:cs="Tahoma"/>
                <w:color w:val="000000"/>
                <w:sz w:val="16"/>
                <w:szCs w:val="16"/>
              </w:rPr>
            </w:pPr>
            <w:r>
              <w:rPr>
                <w:rFonts w:ascii="Tahoma" w:hAnsi="Tahoma" w:cs="Tahoma"/>
                <w:color w:val="000000"/>
                <w:sz w:val="16"/>
                <w:szCs w:val="16"/>
              </w:rPr>
              <w:t>29.39</w:t>
            </w:r>
          </w:p>
        </w:tc>
      </w:tr>
    </w:tbl>
    <w:p w:rsidR="00630C41" w:rsidRDefault="00630C41">
      <w:pPr>
        <w:rPr>
          <w:rFonts w:ascii="Segoe UI" w:hAnsi="Segoe UI" w:cs="Segoe UI"/>
        </w:rPr>
      </w:pPr>
    </w:p>
    <w:tbl>
      <w:tblPr>
        <w:tblW w:w="9923" w:type="dxa"/>
        <w:tblInd w:w="108" w:type="dxa"/>
        <w:tblLook w:val="04A0"/>
      </w:tblPr>
      <w:tblGrid>
        <w:gridCol w:w="2552"/>
        <w:gridCol w:w="1356"/>
        <w:gridCol w:w="1377"/>
        <w:gridCol w:w="1661"/>
        <w:gridCol w:w="1559"/>
        <w:gridCol w:w="1418"/>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rural 'A'</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urban 'A'</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rural 'A'</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urban 'A'</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'A'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1233.18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38.59</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5873.4</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592.25</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7737.38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298.8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95.71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1989.36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4096.03</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6479.91</w:t>
            </w:r>
          </w:p>
        </w:tc>
      </w:tr>
      <w:tr w:rsidR="006B3F76"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B3F76" w:rsidRDefault="006B3F76" w:rsidP="006B3F76">
            <w:pPr>
              <w:spacing w:after="100" w:afterAutospacing="1"/>
              <w:rPr>
                <w:rFonts w:ascii="Tahoma" w:hAnsi="Tahoma" w:cs="Tahoma"/>
                <w:color w:val="000000"/>
                <w:sz w:val="16"/>
                <w:szCs w:val="16"/>
              </w:rPr>
            </w:pPr>
            <w:r>
              <w:rPr>
                <w:rFonts w:ascii="Tahoma" w:hAnsi="Tahoma" w:cs="Tahoma"/>
                <w:color w:val="000000"/>
                <w:sz w:val="16"/>
                <w:szCs w:val="16"/>
              </w:rPr>
              <w:t>Unitary Authority total</w:t>
            </w:r>
          </w:p>
        </w:tc>
        <w:tc>
          <w:tcPr>
            <w:tcW w:w="1356" w:type="dxa"/>
            <w:tcBorders>
              <w:top w:val="nil"/>
              <w:left w:val="nil"/>
              <w:bottom w:val="single" w:sz="4" w:space="0" w:color="auto"/>
              <w:right w:val="single" w:sz="4" w:space="0" w:color="auto"/>
            </w:tcBorders>
            <w:shd w:val="clear" w:color="auto" w:fill="auto"/>
            <w:noWrap/>
            <w:vAlign w:val="bottom"/>
            <w:hideMark/>
          </w:tcPr>
          <w:p w:rsidR="006B3F76" w:rsidRDefault="006B3F76" w:rsidP="006B3F76">
            <w:pPr>
              <w:spacing w:after="100" w:afterAutospacing="1"/>
              <w:jc w:val="right"/>
              <w:rPr>
                <w:rFonts w:ascii="Tahoma" w:hAnsi="Tahoma" w:cs="Tahoma"/>
                <w:color w:val="000000"/>
                <w:sz w:val="16"/>
                <w:szCs w:val="16"/>
              </w:rPr>
            </w:pPr>
            <w:r>
              <w:rPr>
                <w:rFonts w:ascii="Tahoma" w:hAnsi="Tahoma" w:cs="Tahoma"/>
                <w:color w:val="000000"/>
                <w:sz w:val="16"/>
                <w:szCs w:val="16"/>
              </w:rPr>
              <w:t>663.5</w:t>
            </w:r>
          </w:p>
        </w:tc>
        <w:tc>
          <w:tcPr>
            <w:tcW w:w="1377" w:type="dxa"/>
            <w:tcBorders>
              <w:top w:val="nil"/>
              <w:left w:val="nil"/>
              <w:bottom w:val="single" w:sz="4" w:space="0" w:color="auto"/>
              <w:right w:val="single" w:sz="4" w:space="0" w:color="auto"/>
            </w:tcBorders>
            <w:shd w:val="clear" w:color="auto" w:fill="auto"/>
            <w:noWrap/>
            <w:vAlign w:val="bottom"/>
            <w:hideMark/>
          </w:tcPr>
          <w:p w:rsidR="006B3F76" w:rsidRDefault="006B3F76" w:rsidP="006B3F76">
            <w:pPr>
              <w:spacing w:after="100" w:afterAutospacing="1"/>
              <w:jc w:val="right"/>
              <w:rPr>
                <w:rFonts w:ascii="Tahoma" w:hAnsi="Tahoma" w:cs="Tahoma"/>
                <w:color w:val="000000"/>
                <w:sz w:val="16"/>
                <w:szCs w:val="16"/>
              </w:rPr>
            </w:pPr>
            <w:r>
              <w:rPr>
                <w:rFonts w:ascii="Tahoma" w:hAnsi="Tahoma" w:cs="Tahoma"/>
                <w:color w:val="000000"/>
                <w:sz w:val="16"/>
                <w:szCs w:val="16"/>
              </w:rPr>
              <w:t>78.37</w:t>
            </w:r>
          </w:p>
        </w:tc>
        <w:tc>
          <w:tcPr>
            <w:tcW w:w="1661" w:type="dxa"/>
            <w:tcBorders>
              <w:top w:val="nil"/>
              <w:left w:val="nil"/>
              <w:bottom w:val="single" w:sz="4" w:space="0" w:color="auto"/>
              <w:right w:val="single" w:sz="4" w:space="0" w:color="auto"/>
            </w:tcBorders>
            <w:shd w:val="clear" w:color="auto" w:fill="auto"/>
            <w:noWrap/>
            <w:vAlign w:val="bottom"/>
            <w:hideMark/>
          </w:tcPr>
          <w:p w:rsidR="006B3F76" w:rsidRDefault="006B3F76" w:rsidP="006B3F76">
            <w:pPr>
              <w:spacing w:after="100" w:afterAutospacing="1"/>
              <w:jc w:val="right"/>
              <w:rPr>
                <w:rFonts w:ascii="Tahoma" w:hAnsi="Tahoma" w:cs="Tahoma"/>
                <w:color w:val="000000"/>
                <w:sz w:val="16"/>
                <w:szCs w:val="16"/>
              </w:rPr>
            </w:pPr>
            <w:r>
              <w:rPr>
                <w:rFonts w:ascii="Tahoma" w:hAnsi="Tahoma" w:cs="Tahoma"/>
                <w:color w:val="000000"/>
                <w:sz w:val="16"/>
                <w:szCs w:val="16"/>
              </w:rPr>
              <w:t>3015.97</w:t>
            </w:r>
          </w:p>
        </w:tc>
        <w:tc>
          <w:tcPr>
            <w:tcW w:w="1559" w:type="dxa"/>
            <w:tcBorders>
              <w:top w:val="nil"/>
              <w:left w:val="nil"/>
              <w:bottom w:val="single" w:sz="4" w:space="0" w:color="auto"/>
              <w:right w:val="single" w:sz="4" w:space="0" w:color="auto"/>
            </w:tcBorders>
            <w:shd w:val="clear" w:color="auto" w:fill="auto"/>
            <w:noWrap/>
            <w:vAlign w:val="bottom"/>
            <w:hideMark/>
          </w:tcPr>
          <w:p w:rsidR="006B3F76" w:rsidRDefault="006B3F76" w:rsidP="006B3F76">
            <w:pPr>
              <w:spacing w:after="100" w:afterAutospacing="1"/>
              <w:jc w:val="right"/>
              <w:rPr>
                <w:rFonts w:ascii="Tahoma" w:hAnsi="Tahoma" w:cs="Tahoma"/>
                <w:color w:val="000000"/>
                <w:sz w:val="16"/>
                <w:szCs w:val="16"/>
              </w:rPr>
            </w:pPr>
            <w:r>
              <w:rPr>
                <w:rFonts w:ascii="Tahoma" w:hAnsi="Tahoma" w:cs="Tahoma"/>
                <w:color w:val="000000"/>
                <w:sz w:val="16"/>
                <w:szCs w:val="16"/>
              </w:rPr>
              <w:t>1237.62</w:t>
            </w:r>
          </w:p>
        </w:tc>
        <w:tc>
          <w:tcPr>
            <w:tcW w:w="1418" w:type="dxa"/>
            <w:tcBorders>
              <w:top w:val="nil"/>
              <w:left w:val="nil"/>
              <w:bottom w:val="single" w:sz="4" w:space="0" w:color="auto"/>
              <w:right w:val="single" w:sz="4" w:space="0" w:color="auto"/>
            </w:tcBorders>
            <w:shd w:val="clear" w:color="auto" w:fill="auto"/>
            <w:noWrap/>
            <w:vAlign w:val="bottom"/>
            <w:hideMark/>
          </w:tcPr>
          <w:p w:rsidR="006B3F76" w:rsidRDefault="006B3F76" w:rsidP="006B3F76">
            <w:pPr>
              <w:spacing w:after="100" w:afterAutospacing="1"/>
              <w:jc w:val="right"/>
              <w:rPr>
                <w:rFonts w:ascii="Tahoma" w:hAnsi="Tahoma" w:cs="Tahoma"/>
                <w:color w:val="000000"/>
                <w:sz w:val="16"/>
                <w:szCs w:val="16"/>
              </w:rPr>
            </w:pPr>
            <w:r>
              <w:rPr>
                <w:rFonts w:ascii="Tahoma" w:hAnsi="Tahoma" w:cs="Tahoma"/>
                <w:color w:val="000000"/>
                <w:sz w:val="16"/>
                <w:szCs w:val="16"/>
              </w:rPr>
              <w:t>4995.41</w:t>
            </w:r>
          </w:p>
        </w:tc>
      </w:tr>
      <w:tr w:rsidR="006B3F76"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B3F76" w:rsidRDefault="006B3F76" w:rsidP="006B3F76">
            <w:pPr>
              <w:spacing w:after="100" w:afterAutospacing="1"/>
              <w:rPr>
                <w:rFonts w:ascii="Tahoma" w:hAnsi="Tahoma" w:cs="Tahoma"/>
                <w:color w:val="000000"/>
                <w:sz w:val="16"/>
                <w:szCs w:val="16"/>
              </w:rPr>
            </w:pPr>
            <w:r>
              <w:rPr>
                <w:rFonts w:ascii="Tahoma" w:hAnsi="Tahoma" w:cs="Tahoma"/>
                <w:color w:val="000000"/>
                <w:sz w:val="16"/>
                <w:szCs w:val="16"/>
              </w:rPr>
              <w:t>Cheshire East</w:t>
            </w:r>
          </w:p>
        </w:tc>
        <w:tc>
          <w:tcPr>
            <w:tcW w:w="1356" w:type="dxa"/>
            <w:tcBorders>
              <w:top w:val="nil"/>
              <w:left w:val="nil"/>
              <w:bottom w:val="single" w:sz="4" w:space="0" w:color="auto"/>
              <w:right w:val="single" w:sz="4" w:space="0" w:color="auto"/>
            </w:tcBorders>
            <w:shd w:val="clear" w:color="auto" w:fill="auto"/>
            <w:noWrap/>
            <w:vAlign w:val="bottom"/>
            <w:hideMark/>
          </w:tcPr>
          <w:p w:rsidR="006B3F76" w:rsidRDefault="006B3F76" w:rsidP="006B3F76">
            <w:pPr>
              <w:spacing w:after="100" w:afterAutospacing="1"/>
              <w:jc w:val="right"/>
              <w:rPr>
                <w:rFonts w:ascii="Tahoma" w:hAnsi="Tahoma" w:cs="Tahoma"/>
                <w:color w:val="000000"/>
                <w:sz w:val="16"/>
                <w:szCs w:val="16"/>
              </w:rPr>
            </w:pPr>
            <w:r>
              <w:rPr>
                <w:rFonts w:ascii="Tahoma" w:hAnsi="Tahoma" w:cs="Tahoma"/>
                <w:color w:val="000000"/>
                <w:sz w:val="16"/>
                <w:szCs w:val="16"/>
              </w:rPr>
              <w:t>4.29</w:t>
            </w:r>
          </w:p>
        </w:tc>
        <w:tc>
          <w:tcPr>
            <w:tcW w:w="1377" w:type="dxa"/>
            <w:tcBorders>
              <w:top w:val="nil"/>
              <w:left w:val="nil"/>
              <w:bottom w:val="single" w:sz="4" w:space="0" w:color="auto"/>
              <w:right w:val="single" w:sz="4" w:space="0" w:color="auto"/>
            </w:tcBorders>
            <w:shd w:val="clear" w:color="auto" w:fill="auto"/>
            <w:noWrap/>
            <w:vAlign w:val="bottom"/>
            <w:hideMark/>
          </w:tcPr>
          <w:p w:rsidR="006B3F76" w:rsidRDefault="006B3F76" w:rsidP="006B3F76">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1661" w:type="dxa"/>
            <w:tcBorders>
              <w:top w:val="nil"/>
              <w:left w:val="nil"/>
              <w:bottom w:val="single" w:sz="4" w:space="0" w:color="auto"/>
              <w:right w:val="single" w:sz="4" w:space="0" w:color="auto"/>
            </w:tcBorders>
            <w:shd w:val="clear" w:color="auto" w:fill="auto"/>
            <w:noWrap/>
            <w:vAlign w:val="bottom"/>
            <w:hideMark/>
          </w:tcPr>
          <w:p w:rsidR="006B3F76" w:rsidRDefault="006B3F76" w:rsidP="006B3F76">
            <w:pPr>
              <w:spacing w:after="100" w:afterAutospacing="1"/>
              <w:jc w:val="right"/>
              <w:rPr>
                <w:rFonts w:ascii="Tahoma" w:hAnsi="Tahoma" w:cs="Tahoma"/>
                <w:color w:val="000000"/>
                <w:sz w:val="16"/>
                <w:szCs w:val="16"/>
              </w:rPr>
            </w:pPr>
            <w:r>
              <w:rPr>
                <w:rFonts w:ascii="Tahoma" w:hAnsi="Tahoma" w:cs="Tahoma"/>
                <w:color w:val="000000"/>
                <w:sz w:val="16"/>
                <w:szCs w:val="16"/>
              </w:rPr>
              <w:t>197.66</w:t>
            </w:r>
          </w:p>
        </w:tc>
        <w:tc>
          <w:tcPr>
            <w:tcW w:w="1559" w:type="dxa"/>
            <w:tcBorders>
              <w:top w:val="nil"/>
              <w:left w:val="nil"/>
              <w:bottom w:val="single" w:sz="4" w:space="0" w:color="auto"/>
              <w:right w:val="single" w:sz="4" w:space="0" w:color="auto"/>
            </w:tcBorders>
            <w:shd w:val="clear" w:color="auto" w:fill="auto"/>
            <w:noWrap/>
            <w:vAlign w:val="bottom"/>
            <w:hideMark/>
          </w:tcPr>
          <w:p w:rsidR="006B3F76" w:rsidRDefault="006B3F76" w:rsidP="006B3F76">
            <w:pPr>
              <w:spacing w:after="100" w:afterAutospacing="1"/>
              <w:jc w:val="right"/>
              <w:rPr>
                <w:rFonts w:ascii="Tahoma" w:hAnsi="Tahoma" w:cs="Tahoma"/>
                <w:color w:val="000000"/>
                <w:sz w:val="16"/>
                <w:szCs w:val="16"/>
              </w:rPr>
            </w:pPr>
            <w:r>
              <w:rPr>
                <w:rFonts w:ascii="Tahoma" w:hAnsi="Tahoma" w:cs="Tahoma"/>
                <w:color w:val="000000"/>
                <w:sz w:val="16"/>
                <w:szCs w:val="16"/>
              </w:rPr>
              <w:t>53.94</w:t>
            </w:r>
          </w:p>
        </w:tc>
        <w:tc>
          <w:tcPr>
            <w:tcW w:w="1418" w:type="dxa"/>
            <w:tcBorders>
              <w:top w:val="nil"/>
              <w:left w:val="nil"/>
              <w:bottom w:val="single" w:sz="4" w:space="0" w:color="auto"/>
              <w:right w:val="single" w:sz="4" w:space="0" w:color="auto"/>
            </w:tcBorders>
            <w:shd w:val="clear" w:color="auto" w:fill="auto"/>
            <w:noWrap/>
            <w:vAlign w:val="bottom"/>
            <w:hideMark/>
          </w:tcPr>
          <w:p w:rsidR="006B3F76" w:rsidRDefault="006B3F76" w:rsidP="006B3F76">
            <w:pPr>
              <w:spacing w:after="100" w:afterAutospacing="1"/>
              <w:jc w:val="right"/>
              <w:rPr>
                <w:rFonts w:ascii="Tahoma" w:hAnsi="Tahoma" w:cs="Tahoma"/>
                <w:color w:val="000000"/>
                <w:sz w:val="16"/>
                <w:szCs w:val="16"/>
              </w:rPr>
            </w:pPr>
            <w:r>
              <w:rPr>
                <w:rFonts w:ascii="Tahoma" w:hAnsi="Tahoma" w:cs="Tahoma"/>
                <w:color w:val="000000"/>
                <w:sz w:val="16"/>
                <w:szCs w:val="16"/>
              </w:rPr>
              <w:t>255.88</w:t>
            </w:r>
          </w:p>
        </w:tc>
      </w:tr>
    </w:tbl>
    <w:p w:rsidR="00630C41" w:rsidRDefault="00630C41">
      <w:pPr>
        <w:rPr>
          <w:rFonts w:ascii="Segoe UI" w:hAnsi="Segoe UI" w:cs="Segoe UI"/>
        </w:rPr>
      </w:pPr>
    </w:p>
    <w:tbl>
      <w:tblPr>
        <w:tblW w:w="9923" w:type="dxa"/>
        <w:tblInd w:w="108" w:type="dxa"/>
        <w:tblLook w:val="04A0"/>
      </w:tblPr>
      <w:tblGrid>
        <w:gridCol w:w="2552"/>
        <w:gridCol w:w="1276"/>
        <w:gridCol w:w="1417"/>
        <w:gridCol w:w="1559"/>
        <w:gridCol w:w="1560"/>
        <w:gridCol w:w="1559"/>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Minor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 xml:space="preserve">Rural 'B' </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'B'</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Rural 'C' and 'U'</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'C' and 'U'</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minor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5416.9</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395.2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47980.4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8406.8</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1349.5</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1752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11188</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43816.6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r>
      <w:tr w:rsidR="006B3F76"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B3F76" w:rsidRDefault="006B3F76" w:rsidP="006B3F76">
            <w:pPr>
              <w:spacing w:after="100" w:afterAutospacing="1"/>
              <w:rPr>
                <w:rFonts w:ascii="Tahoma" w:hAnsi="Tahoma" w:cs="Tahoma"/>
                <w:color w:val="000000"/>
                <w:sz w:val="16"/>
                <w:szCs w:val="16"/>
              </w:rPr>
            </w:pPr>
            <w:r>
              <w:rPr>
                <w:rFonts w:ascii="Tahoma" w:hAnsi="Tahoma" w:cs="Tahoma"/>
                <w:color w:val="000000"/>
                <w:sz w:val="16"/>
                <w:szCs w:val="16"/>
              </w:rPr>
              <w:t>Unitary Authority total</w:t>
            </w:r>
          </w:p>
        </w:tc>
        <w:tc>
          <w:tcPr>
            <w:tcW w:w="1276" w:type="dxa"/>
            <w:tcBorders>
              <w:top w:val="nil"/>
              <w:left w:val="nil"/>
              <w:bottom w:val="single" w:sz="4" w:space="0" w:color="auto"/>
              <w:right w:val="single" w:sz="4" w:space="0" w:color="auto"/>
            </w:tcBorders>
            <w:shd w:val="clear" w:color="auto" w:fill="auto"/>
            <w:noWrap/>
            <w:vAlign w:val="bottom"/>
            <w:hideMark/>
          </w:tcPr>
          <w:p w:rsidR="006B3F76" w:rsidRDefault="006B3F76" w:rsidP="006B3F76">
            <w:pPr>
              <w:spacing w:after="100" w:afterAutospacing="1"/>
              <w:jc w:val="right"/>
              <w:rPr>
                <w:rFonts w:ascii="Tahoma" w:hAnsi="Tahoma" w:cs="Tahoma"/>
                <w:color w:val="000000"/>
                <w:sz w:val="16"/>
                <w:szCs w:val="16"/>
              </w:rPr>
            </w:pPr>
            <w:r>
              <w:rPr>
                <w:rFonts w:ascii="Tahoma" w:hAnsi="Tahoma" w:cs="Tahoma"/>
                <w:color w:val="000000"/>
                <w:sz w:val="16"/>
                <w:szCs w:val="16"/>
              </w:rPr>
              <w:t>2659.4</w:t>
            </w:r>
          </w:p>
        </w:tc>
        <w:tc>
          <w:tcPr>
            <w:tcW w:w="1417" w:type="dxa"/>
            <w:tcBorders>
              <w:top w:val="nil"/>
              <w:left w:val="nil"/>
              <w:bottom w:val="single" w:sz="4" w:space="0" w:color="auto"/>
              <w:right w:val="single" w:sz="4" w:space="0" w:color="auto"/>
            </w:tcBorders>
            <w:shd w:val="clear" w:color="auto" w:fill="auto"/>
            <w:noWrap/>
            <w:vAlign w:val="bottom"/>
            <w:hideMark/>
          </w:tcPr>
          <w:p w:rsidR="006B3F76" w:rsidRDefault="006B3F76" w:rsidP="006B3F76">
            <w:pPr>
              <w:spacing w:after="100" w:afterAutospacing="1"/>
              <w:jc w:val="right"/>
              <w:rPr>
                <w:rFonts w:ascii="Tahoma" w:hAnsi="Tahoma" w:cs="Tahoma"/>
                <w:color w:val="000000"/>
                <w:sz w:val="16"/>
                <w:szCs w:val="16"/>
              </w:rPr>
            </w:pPr>
            <w:r>
              <w:rPr>
                <w:rFonts w:ascii="Tahoma" w:hAnsi="Tahoma" w:cs="Tahoma"/>
                <w:color w:val="000000"/>
                <w:sz w:val="16"/>
                <w:szCs w:val="16"/>
              </w:rPr>
              <w:t>569.9</w:t>
            </w:r>
          </w:p>
        </w:tc>
        <w:tc>
          <w:tcPr>
            <w:tcW w:w="1559" w:type="dxa"/>
            <w:tcBorders>
              <w:top w:val="nil"/>
              <w:left w:val="nil"/>
              <w:bottom w:val="single" w:sz="4" w:space="0" w:color="auto"/>
              <w:right w:val="single" w:sz="4" w:space="0" w:color="auto"/>
            </w:tcBorders>
            <w:shd w:val="clear" w:color="auto" w:fill="auto"/>
            <w:noWrap/>
            <w:vAlign w:val="bottom"/>
            <w:hideMark/>
          </w:tcPr>
          <w:p w:rsidR="006B3F76" w:rsidRDefault="006B3F76" w:rsidP="006B3F76">
            <w:pPr>
              <w:spacing w:after="100" w:afterAutospacing="1"/>
              <w:jc w:val="right"/>
              <w:rPr>
                <w:rFonts w:ascii="Tahoma" w:hAnsi="Tahoma" w:cs="Tahoma"/>
                <w:color w:val="000000"/>
                <w:sz w:val="16"/>
                <w:szCs w:val="16"/>
              </w:rPr>
            </w:pPr>
            <w:r>
              <w:rPr>
                <w:rFonts w:ascii="Tahoma" w:hAnsi="Tahoma" w:cs="Tahoma"/>
                <w:color w:val="000000"/>
                <w:sz w:val="16"/>
                <w:szCs w:val="16"/>
              </w:rPr>
              <w:t>21100.2</w:t>
            </w:r>
          </w:p>
        </w:tc>
        <w:tc>
          <w:tcPr>
            <w:tcW w:w="1560" w:type="dxa"/>
            <w:tcBorders>
              <w:top w:val="nil"/>
              <w:left w:val="nil"/>
              <w:bottom w:val="single" w:sz="4" w:space="0" w:color="auto"/>
              <w:right w:val="single" w:sz="4" w:space="0" w:color="auto"/>
            </w:tcBorders>
            <w:shd w:val="clear" w:color="auto" w:fill="auto"/>
            <w:noWrap/>
            <w:vAlign w:val="bottom"/>
            <w:hideMark/>
          </w:tcPr>
          <w:p w:rsidR="006B3F76" w:rsidRDefault="006B3F76" w:rsidP="006B3F76">
            <w:pPr>
              <w:spacing w:after="100" w:afterAutospacing="1"/>
              <w:jc w:val="right"/>
              <w:rPr>
                <w:rFonts w:ascii="Tahoma" w:hAnsi="Tahoma" w:cs="Tahoma"/>
                <w:color w:val="000000"/>
                <w:sz w:val="16"/>
                <w:szCs w:val="16"/>
              </w:rPr>
            </w:pPr>
            <w:r>
              <w:rPr>
                <w:rFonts w:ascii="Tahoma" w:hAnsi="Tahoma" w:cs="Tahoma"/>
                <w:color w:val="000000"/>
                <w:sz w:val="16"/>
                <w:szCs w:val="16"/>
              </w:rPr>
              <w:t>16514.6</w:t>
            </w:r>
          </w:p>
        </w:tc>
        <w:tc>
          <w:tcPr>
            <w:tcW w:w="1559" w:type="dxa"/>
            <w:tcBorders>
              <w:top w:val="nil"/>
              <w:left w:val="nil"/>
              <w:bottom w:val="single" w:sz="4" w:space="0" w:color="auto"/>
              <w:right w:val="single" w:sz="4" w:space="0" w:color="auto"/>
            </w:tcBorders>
            <w:shd w:val="clear" w:color="auto" w:fill="auto"/>
            <w:noWrap/>
            <w:vAlign w:val="bottom"/>
            <w:hideMark/>
          </w:tcPr>
          <w:p w:rsidR="006B3F76" w:rsidRDefault="006B3F76" w:rsidP="006B3F76">
            <w:pPr>
              <w:spacing w:after="100" w:afterAutospacing="1"/>
              <w:jc w:val="right"/>
              <w:rPr>
                <w:rFonts w:ascii="Tahoma" w:hAnsi="Tahoma" w:cs="Tahoma"/>
                <w:color w:val="000000"/>
                <w:sz w:val="16"/>
                <w:szCs w:val="16"/>
              </w:rPr>
            </w:pPr>
            <w:r>
              <w:rPr>
                <w:rFonts w:ascii="Tahoma" w:hAnsi="Tahoma" w:cs="Tahoma"/>
                <w:color w:val="000000"/>
                <w:sz w:val="16"/>
                <w:szCs w:val="16"/>
              </w:rPr>
              <w:t>40843.8</w:t>
            </w:r>
          </w:p>
        </w:tc>
      </w:tr>
      <w:tr w:rsidR="006B3F76"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B3F76" w:rsidRDefault="006B3F76" w:rsidP="006B3F76">
            <w:pPr>
              <w:spacing w:after="100" w:afterAutospacing="1"/>
              <w:rPr>
                <w:rFonts w:ascii="Tahoma" w:hAnsi="Tahoma" w:cs="Tahoma"/>
                <w:color w:val="000000"/>
                <w:sz w:val="16"/>
                <w:szCs w:val="16"/>
              </w:rPr>
            </w:pPr>
            <w:r>
              <w:rPr>
                <w:rFonts w:ascii="Tahoma" w:hAnsi="Tahoma" w:cs="Tahoma"/>
                <w:color w:val="000000"/>
                <w:sz w:val="16"/>
                <w:szCs w:val="16"/>
              </w:rPr>
              <w:t>Cheshire East</w:t>
            </w:r>
          </w:p>
        </w:tc>
        <w:tc>
          <w:tcPr>
            <w:tcW w:w="1276" w:type="dxa"/>
            <w:tcBorders>
              <w:top w:val="nil"/>
              <w:left w:val="nil"/>
              <w:bottom w:val="single" w:sz="4" w:space="0" w:color="auto"/>
              <w:right w:val="single" w:sz="4" w:space="0" w:color="auto"/>
            </w:tcBorders>
            <w:shd w:val="clear" w:color="auto" w:fill="auto"/>
            <w:noWrap/>
            <w:vAlign w:val="bottom"/>
            <w:hideMark/>
          </w:tcPr>
          <w:p w:rsidR="006B3F76" w:rsidRDefault="006B3F76" w:rsidP="006B3F76">
            <w:pPr>
              <w:spacing w:after="100" w:afterAutospacing="1"/>
              <w:jc w:val="right"/>
              <w:rPr>
                <w:rFonts w:ascii="Tahoma" w:hAnsi="Tahoma" w:cs="Tahoma"/>
                <w:color w:val="000000"/>
                <w:sz w:val="16"/>
                <w:szCs w:val="16"/>
              </w:rPr>
            </w:pPr>
            <w:r>
              <w:rPr>
                <w:rFonts w:ascii="Tahoma" w:hAnsi="Tahoma" w:cs="Tahoma"/>
                <w:color w:val="000000"/>
                <w:sz w:val="16"/>
                <w:szCs w:val="16"/>
              </w:rPr>
              <w:t>66.4</w:t>
            </w:r>
          </w:p>
        </w:tc>
        <w:tc>
          <w:tcPr>
            <w:tcW w:w="1417" w:type="dxa"/>
            <w:tcBorders>
              <w:top w:val="nil"/>
              <w:left w:val="nil"/>
              <w:bottom w:val="single" w:sz="4" w:space="0" w:color="auto"/>
              <w:right w:val="single" w:sz="4" w:space="0" w:color="auto"/>
            </w:tcBorders>
            <w:shd w:val="clear" w:color="auto" w:fill="auto"/>
            <w:noWrap/>
            <w:vAlign w:val="bottom"/>
            <w:hideMark/>
          </w:tcPr>
          <w:p w:rsidR="006B3F76" w:rsidRDefault="006B3F76" w:rsidP="006B3F76">
            <w:pPr>
              <w:spacing w:after="100" w:afterAutospacing="1"/>
              <w:jc w:val="right"/>
              <w:rPr>
                <w:rFonts w:ascii="Tahoma" w:hAnsi="Tahoma" w:cs="Tahoma"/>
                <w:color w:val="000000"/>
                <w:sz w:val="16"/>
                <w:szCs w:val="16"/>
              </w:rPr>
            </w:pPr>
            <w:r>
              <w:rPr>
                <w:rFonts w:ascii="Tahoma" w:hAnsi="Tahoma" w:cs="Tahoma"/>
                <w:color w:val="000000"/>
                <w:sz w:val="16"/>
                <w:szCs w:val="16"/>
              </w:rPr>
              <w:t>22.4</w:t>
            </w:r>
          </w:p>
        </w:tc>
        <w:tc>
          <w:tcPr>
            <w:tcW w:w="1559" w:type="dxa"/>
            <w:tcBorders>
              <w:top w:val="nil"/>
              <w:left w:val="nil"/>
              <w:bottom w:val="single" w:sz="4" w:space="0" w:color="auto"/>
              <w:right w:val="single" w:sz="4" w:space="0" w:color="auto"/>
            </w:tcBorders>
            <w:shd w:val="clear" w:color="auto" w:fill="auto"/>
            <w:noWrap/>
            <w:vAlign w:val="bottom"/>
            <w:hideMark/>
          </w:tcPr>
          <w:p w:rsidR="006B3F76" w:rsidRDefault="006B3F76" w:rsidP="006B3F76">
            <w:pPr>
              <w:spacing w:after="100" w:afterAutospacing="1"/>
              <w:jc w:val="right"/>
              <w:rPr>
                <w:rFonts w:ascii="Tahoma" w:hAnsi="Tahoma" w:cs="Tahoma"/>
                <w:color w:val="000000"/>
                <w:sz w:val="16"/>
                <w:szCs w:val="16"/>
              </w:rPr>
            </w:pPr>
            <w:r>
              <w:rPr>
                <w:rFonts w:ascii="Tahoma" w:hAnsi="Tahoma" w:cs="Tahoma"/>
                <w:color w:val="000000"/>
                <w:sz w:val="16"/>
                <w:szCs w:val="16"/>
              </w:rPr>
              <w:t>844.6</w:t>
            </w:r>
          </w:p>
        </w:tc>
        <w:tc>
          <w:tcPr>
            <w:tcW w:w="1560" w:type="dxa"/>
            <w:tcBorders>
              <w:top w:val="nil"/>
              <w:left w:val="nil"/>
              <w:bottom w:val="single" w:sz="4" w:space="0" w:color="auto"/>
              <w:right w:val="single" w:sz="4" w:space="0" w:color="auto"/>
            </w:tcBorders>
            <w:shd w:val="clear" w:color="auto" w:fill="auto"/>
            <w:noWrap/>
            <w:vAlign w:val="bottom"/>
            <w:hideMark/>
          </w:tcPr>
          <w:p w:rsidR="006B3F76" w:rsidRDefault="006B3F76" w:rsidP="006B3F76">
            <w:pPr>
              <w:spacing w:after="100" w:afterAutospacing="1"/>
              <w:jc w:val="right"/>
              <w:rPr>
                <w:rFonts w:ascii="Tahoma" w:hAnsi="Tahoma" w:cs="Tahoma"/>
                <w:color w:val="000000"/>
                <w:sz w:val="16"/>
                <w:szCs w:val="16"/>
              </w:rPr>
            </w:pPr>
            <w:r>
              <w:rPr>
                <w:rFonts w:ascii="Tahoma" w:hAnsi="Tahoma" w:cs="Tahoma"/>
                <w:color w:val="000000"/>
                <w:sz w:val="16"/>
                <w:szCs w:val="16"/>
              </w:rPr>
              <w:t>562.1</w:t>
            </w:r>
          </w:p>
        </w:tc>
        <w:tc>
          <w:tcPr>
            <w:tcW w:w="1559" w:type="dxa"/>
            <w:tcBorders>
              <w:top w:val="nil"/>
              <w:left w:val="nil"/>
              <w:bottom w:val="single" w:sz="4" w:space="0" w:color="auto"/>
              <w:right w:val="single" w:sz="4" w:space="0" w:color="auto"/>
            </w:tcBorders>
            <w:shd w:val="clear" w:color="auto" w:fill="auto"/>
            <w:noWrap/>
            <w:vAlign w:val="bottom"/>
            <w:hideMark/>
          </w:tcPr>
          <w:p w:rsidR="006B3F76" w:rsidRDefault="006B3F76" w:rsidP="006B3F76">
            <w:pPr>
              <w:spacing w:after="100" w:afterAutospacing="1"/>
              <w:jc w:val="right"/>
              <w:rPr>
                <w:rFonts w:ascii="Tahoma" w:hAnsi="Tahoma" w:cs="Tahoma"/>
                <w:color w:val="000000"/>
                <w:sz w:val="16"/>
                <w:szCs w:val="16"/>
              </w:rPr>
            </w:pPr>
            <w:r>
              <w:rPr>
                <w:rFonts w:ascii="Tahoma" w:hAnsi="Tahoma" w:cs="Tahoma"/>
                <w:color w:val="000000"/>
                <w:sz w:val="16"/>
                <w:szCs w:val="16"/>
              </w:rPr>
              <w:t>1495.6</w:t>
            </w:r>
          </w:p>
        </w:tc>
      </w:tr>
    </w:tbl>
    <w:p w:rsidR="00630C41" w:rsidRDefault="00630C41">
      <w:pPr>
        <w:rPr>
          <w:rFonts w:ascii="Segoe UI" w:hAnsi="Segoe UI" w:cs="Segoe UI"/>
        </w:rPr>
      </w:pPr>
    </w:p>
    <w:tbl>
      <w:tblPr>
        <w:tblW w:w="9923" w:type="dxa"/>
        <w:tblInd w:w="108" w:type="dxa"/>
        <w:tblLook w:val="04A0"/>
      </w:tblPr>
      <w:tblGrid>
        <w:gridCol w:w="2552"/>
        <w:gridCol w:w="1843"/>
        <w:gridCol w:w="1984"/>
        <w:gridCol w:w="1843"/>
        <w:gridCol w:w="1701"/>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All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Trunk roads</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Prinicipal roads</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Minor roads</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Total road length</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1602.12</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6465.6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70267.2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1183.71</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6111.12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65402.6</w:t>
            </w:r>
          </w:p>
        </w:tc>
      </w:tr>
      <w:tr w:rsidR="006B3F76"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B3F76" w:rsidRDefault="006B3F76" w:rsidP="006B3F76">
            <w:pPr>
              <w:spacing w:after="100" w:afterAutospacing="1"/>
              <w:rPr>
                <w:rFonts w:ascii="Tahoma" w:hAnsi="Tahoma" w:cs="Tahoma"/>
                <w:color w:val="000000"/>
                <w:sz w:val="16"/>
                <w:szCs w:val="16"/>
              </w:rPr>
            </w:pPr>
            <w:r>
              <w:rPr>
                <w:rFonts w:ascii="Tahoma" w:hAnsi="Tahoma" w:cs="Tahoma"/>
                <w:color w:val="000000"/>
                <w:sz w:val="16"/>
                <w:szCs w:val="16"/>
              </w:rPr>
              <w:t>Unitary Authority total</w:t>
            </w:r>
          </w:p>
        </w:tc>
        <w:tc>
          <w:tcPr>
            <w:tcW w:w="1843" w:type="dxa"/>
            <w:tcBorders>
              <w:top w:val="nil"/>
              <w:left w:val="nil"/>
              <w:bottom w:val="single" w:sz="4" w:space="0" w:color="auto"/>
              <w:right w:val="single" w:sz="4" w:space="0" w:color="auto"/>
            </w:tcBorders>
            <w:shd w:val="clear" w:color="auto" w:fill="auto"/>
            <w:noWrap/>
            <w:vAlign w:val="bottom"/>
            <w:hideMark/>
          </w:tcPr>
          <w:p w:rsidR="006B3F76" w:rsidRDefault="006B3F76" w:rsidP="006B3F76">
            <w:pPr>
              <w:spacing w:after="100" w:afterAutospacing="1"/>
              <w:jc w:val="right"/>
              <w:rPr>
                <w:rFonts w:ascii="Tahoma" w:hAnsi="Tahoma" w:cs="Tahoma"/>
                <w:color w:val="000000"/>
                <w:sz w:val="16"/>
                <w:szCs w:val="16"/>
              </w:rPr>
            </w:pPr>
            <w:r>
              <w:rPr>
                <w:rFonts w:ascii="Tahoma" w:hAnsi="Tahoma" w:cs="Tahoma"/>
                <w:color w:val="000000"/>
                <w:sz w:val="16"/>
                <w:szCs w:val="16"/>
              </w:rPr>
              <w:t>1123.98</w:t>
            </w:r>
          </w:p>
        </w:tc>
        <w:tc>
          <w:tcPr>
            <w:tcW w:w="1984" w:type="dxa"/>
            <w:tcBorders>
              <w:top w:val="nil"/>
              <w:left w:val="nil"/>
              <w:bottom w:val="single" w:sz="4" w:space="0" w:color="auto"/>
              <w:right w:val="single" w:sz="4" w:space="0" w:color="auto"/>
            </w:tcBorders>
            <w:shd w:val="clear" w:color="auto" w:fill="auto"/>
            <w:noWrap/>
            <w:vAlign w:val="bottom"/>
            <w:hideMark/>
          </w:tcPr>
          <w:p w:rsidR="006B3F76" w:rsidRDefault="006B3F76" w:rsidP="006B3F76">
            <w:pPr>
              <w:spacing w:after="100" w:afterAutospacing="1"/>
              <w:jc w:val="right"/>
              <w:rPr>
                <w:rFonts w:ascii="Tahoma" w:hAnsi="Tahoma" w:cs="Tahoma"/>
                <w:color w:val="000000"/>
                <w:sz w:val="16"/>
                <w:szCs w:val="16"/>
              </w:rPr>
            </w:pPr>
            <w:r>
              <w:rPr>
                <w:rFonts w:ascii="Tahoma" w:hAnsi="Tahoma" w:cs="Tahoma"/>
                <w:color w:val="000000"/>
                <w:sz w:val="16"/>
                <w:szCs w:val="16"/>
              </w:rPr>
              <w:t>4260.33</w:t>
            </w:r>
          </w:p>
        </w:tc>
        <w:tc>
          <w:tcPr>
            <w:tcW w:w="1843" w:type="dxa"/>
            <w:tcBorders>
              <w:top w:val="nil"/>
              <w:left w:val="nil"/>
              <w:bottom w:val="single" w:sz="4" w:space="0" w:color="auto"/>
              <w:right w:val="single" w:sz="4" w:space="0" w:color="auto"/>
            </w:tcBorders>
            <w:shd w:val="clear" w:color="auto" w:fill="auto"/>
            <w:noWrap/>
            <w:vAlign w:val="bottom"/>
            <w:hideMark/>
          </w:tcPr>
          <w:p w:rsidR="006B3F76" w:rsidRDefault="006B3F76" w:rsidP="006B3F76">
            <w:pPr>
              <w:spacing w:after="100" w:afterAutospacing="1"/>
              <w:jc w:val="right"/>
              <w:rPr>
                <w:rFonts w:ascii="Tahoma" w:hAnsi="Tahoma" w:cs="Tahoma"/>
                <w:color w:val="000000"/>
                <w:sz w:val="16"/>
                <w:szCs w:val="16"/>
              </w:rPr>
            </w:pPr>
            <w:r>
              <w:rPr>
                <w:rFonts w:ascii="Tahoma" w:hAnsi="Tahoma" w:cs="Tahoma"/>
                <w:color w:val="000000"/>
                <w:sz w:val="16"/>
                <w:szCs w:val="16"/>
              </w:rPr>
              <w:t>40843.8</w:t>
            </w:r>
          </w:p>
        </w:tc>
        <w:tc>
          <w:tcPr>
            <w:tcW w:w="1701" w:type="dxa"/>
            <w:tcBorders>
              <w:top w:val="nil"/>
              <w:left w:val="nil"/>
              <w:bottom w:val="single" w:sz="4" w:space="0" w:color="auto"/>
              <w:right w:val="single" w:sz="4" w:space="0" w:color="auto"/>
            </w:tcBorders>
            <w:shd w:val="clear" w:color="auto" w:fill="auto"/>
            <w:noWrap/>
            <w:vAlign w:val="bottom"/>
            <w:hideMark/>
          </w:tcPr>
          <w:p w:rsidR="006B3F76" w:rsidRDefault="006B3F76" w:rsidP="006B3F76">
            <w:pPr>
              <w:spacing w:after="100" w:afterAutospacing="1"/>
              <w:jc w:val="right"/>
              <w:rPr>
                <w:rFonts w:ascii="Tahoma" w:hAnsi="Tahoma" w:cs="Tahoma"/>
                <w:color w:val="000000"/>
                <w:sz w:val="16"/>
                <w:szCs w:val="16"/>
              </w:rPr>
            </w:pPr>
            <w:r>
              <w:rPr>
                <w:rFonts w:ascii="Tahoma" w:hAnsi="Tahoma" w:cs="Tahoma"/>
                <w:color w:val="000000"/>
                <w:sz w:val="16"/>
                <w:szCs w:val="16"/>
              </w:rPr>
              <w:t>46228.5</w:t>
            </w:r>
          </w:p>
        </w:tc>
      </w:tr>
      <w:tr w:rsidR="006B3F76"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B3F76" w:rsidRDefault="006B3F76" w:rsidP="006B3F76">
            <w:pPr>
              <w:spacing w:after="100" w:afterAutospacing="1"/>
              <w:rPr>
                <w:rFonts w:ascii="Tahoma" w:hAnsi="Tahoma" w:cs="Tahoma"/>
                <w:color w:val="000000"/>
                <w:sz w:val="16"/>
                <w:szCs w:val="16"/>
              </w:rPr>
            </w:pPr>
            <w:r>
              <w:rPr>
                <w:rFonts w:ascii="Tahoma" w:hAnsi="Tahoma" w:cs="Tahoma"/>
                <w:color w:val="000000"/>
                <w:sz w:val="16"/>
                <w:szCs w:val="16"/>
              </w:rPr>
              <w:t>Cheshire East</w:t>
            </w:r>
          </w:p>
        </w:tc>
        <w:tc>
          <w:tcPr>
            <w:tcW w:w="1843" w:type="dxa"/>
            <w:tcBorders>
              <w:top w:val="nil"/>
              <w:left w:val="nil"/>
              <w:bottom w:val="single" w:sz="4" w:space="0" w:color="auto"/>
              <w:right w:val="single" w:sz="4" w:space="0" w:color="auto"/>
            </w:tcBorders>
            <w:shd w:val="clear" w:color="auto" w:fill="auto"/>
            <w:noWrap/>
            <w:vAlign w:val="bottom"/>
            <w:hideMark/>
          </w:tcPr>
          <w:p w:rsidR="006B3F76" w:rsidRDefault="006B3F76" w:rsidP="006B3F76">
            <w:pPr>
              <w:spacing w:after="100" w:afterAutospacing="1"/>
              <w:jc w:val="right"/>
              <w:rPr>
                <w:rFonts w:ascii="Tahoma" w:hAnsi="Tahoma" w:cs="Tahoma"/>
                <w:color w:val="000000"/>
                <w:sz w:val="16"/>
                <w:szCs w:val="16"/>
              </w:rPr>
            </w:pPr>
            <w:r>
              <w:rPr>
                <w:rFonts w:ascii="Tahoma" w:hAnsi="Tahoma" w:cs="Tahoma"/>
                <w:color w:val="000000"/>
                <w:sz w:val="16"/>
                <w:szCs w:val="16"/>
              </w:rPr>
              <w:t>33.68</w:t>
            </w:r>
          </w:p>
        </w:tc>
        <w:tc>
          <w:tcPr>
            <w:tcW w:w="1984" w:type="dxa"/>
            <w:tcBorders>
              <w:top w:val="nil"/>
              <w:left w:val="nil"/>
              <w:bottom w:val="single" w:sz="4" w:space="0" w:color="auto"/>
              <w:right w:val="single" w:sz="4" w:space="0" w:color="auto"/>
            </w:tcBorders>
            <w:shd w:val="clear" w:color="auto" w:fill="auto"/>
            <w:noWrap/>
            <w:vAlign w:val="bottom"/>
            <w:hideMark/>
          </w:tcPr>
          <w:p w:rsidR="006B3F76" w:rsidRDefault="006B3F76" w:rsidP="006B3F76">
            <w:pPr>
              <w:spacing w:after="100" w:afterAutospacing="1"/>
              <w:jc w:val="right"/>
              <w:rPr>
                <w:rFonts w:ascii="Tahoma" w:hAnsi="Tahoma" w:cs="Tahoma"/>
                <w:color w:val="000000"/>
                <w:sz w:val="16"/>
                <w:szCs w:val="16"/>
              </w:rPr>
            </w:pPr>
            <w:r>
              <w:rPr>
                <w:rFonts w:ascii="Tahoma" w:hAnsi="Tahoma" w:cs="Tahoma"/>
                <w:color w:val="000000"/>
                <w:sz w:val="16"/>
                <w:szCs w:val="16"/>
              </w:rPr>
              <w:t>251.59</w:t>
            </w:r>
          </w:p>
        </w:tc>
        <w:tc>
          <w:tcPr>
            <w:tcW w:w="1843" w:type="dxa"/>
            <w:tcBorders>
              <w:top w:val="nil"/>
              <w:left w:val="nil"/>
              <w:bottom w:val="single" w:sz="4" w:space="0" w:color="auto"/>
              <w:right w:val="single" w:sz="4" w:space="0" w:color="auto"/>
            </w:tcBorders>
            <w:shd w:val="clear" w:color="auto" w:fill="auto"/>
            <w:noWrap/>
            <w:vAlign w:val="bottom"/>
            <w:hideMark/>
          </w:tcPr>
          <w:p w:rsidR="006B3F76" w:rsidRDefault="006B3F76" w:rsidP="006B3F76">
            <w:pPr>
              <w:spacing w:after="100" w:afterAutospacing="1"/>
              <w:jc w:val="right"/>
              <w:rPr>
                <w:rFonts w:ascii="Tahoma" w:hAnsi="Tahoma" w:cs="Tahoma"/>
                <w:color w:val="000000"/>
                <w:sz w:val="16"/>
                <w:szCs w:val="16"/>
              </w:rPr>
            </w:pPr>
            <w:r>
              <w:rPr>
                <w:rFonts w:ascii="Tahoma" w:hAnsi="Tahoma" w:cs="Tahoma"/>
                <w:color w:val="000000"/>
                <w:sz w:val="16"/>
                <w:szCs w:val="16"/>
              </w:rPr>
              <w:t>1495.6</w:t>
            </w:r>
          </w:p>
        </w:tc>
        <w:tc>
          <w:tcPr>
            <w:tcW w:w="1701" w:type="dxa"/>
            <w:tcBorders>
              <w:top w:val="nil"/>
              <w:left w:val="nil"/>
              <w:bottom w:val="single" w:sz="4" w:space="0" w:color="auto"/>
              <w:right w:val="single" w:sz="4" w:space="0" w:color="auto"/>
            </w:tcBorders>
            <w:shd w:val="clear" w:color="auto" w:fill="auto"/>
            <w:noWrap/>
            <w:vAlign w:val="bottom"/>
            <w:hideMark/>
          </w:tcPr>
          <w:p w:rsidR="006B3F76" w:rsidRDefault="006B3F76" w:rsidP="006B3F76">
            <w:pPr>
              <w:spacing w:after="100" w:afterAutospacing="1"/>
              <w:jc w:val="right"/>
              <w:rPr>
                <w:rFonts w:ascii="Tahoma" w:hAnsi="Tahoma" w:cs="Tahoma"/>
                <w:color w:val="000000"/>
                <w:sz w:val="16"/>
                <w:szCs w:val="16"/>
              </w:rPr>
            </w:pPr>
            <w:r>
              <w:rPr>
                <w:rFonts w:ascii="Tahoma" w:hAnsi="Tahoma" w:cs="Tahoma"/>
                <w:color w:val="000000"/>
                <w:sz w:val="16"/>
                <w:szCs w:val="16"/>
              </w:rPr>
              <w:t>1780.8</w:t>
            </w:r>
          </w:p>
        </w:tc>
      </w:tr>
    </w:tbl>
    <w:p w:rsidR="00630C41" w:rsidRDefault="00630C41">
      <w:pPr>
        <w:rPr>
          <w:rFonts w:ascii="Segoe UI" w:hAnsi="Segoe UI" w:cs="Segoe UI"/>
        </w:rPr>
      </w:pPr>
    </w:p>
    <w:p w:rsidR="009500DD" w:rsidRDefault="009500DD">
      <w:pPr>
        <w:rPr>
          <w:rFonts w:ascii="Segoe UI" w:hAnsi="Segoe UI" w:cs="Segoe UI"/>
        </w:rPr>
      </w:pPr>
    </w:p>
    <w:p w:rsidR="009500DD" w:rsidRDefault="009500DD">
      <w:pPr>
        <w:rPr>
          <w:rFonts w:ascii="Segoe UI" w:hAnsi="Segoe UI" w:cs="Segoe UI"/>
        </w:rPr>
      </w:pPr>
      <w:r>
        <w:rPr>
          <w:rFonts w:ascii="Segoe UI" w:hAnsi="Segoe UI" w:cs="Segoe UI"/>
        </w:rPr>
        <w:t>Taking the total road lengths and proportion where maintenance should be considered:</w:t>
      </w:r>
    </w:p>
    <w:p w:rsidR="009500DD" w:rsidRDefault="009500DD">
      <w:pPr>
        <w:rPr>
          <w:rFonts w:ascii="Segoe UI" w:hAnsi="Segoe UI" w:cs="Segoe UI"/>
        </w:rPr>
      </w:pPr>
    </w:p>
    <w:tbl>
      <w:tblPr>
        <w:tblW w:w="6940" w:type="dxa"/>
        <w:tblInd w:w="103" w:type="dxa"/>
        <w:tblLook w:val="04A0"/>
      </w:tblPr>
      <w:tblGrid>
        <w:gridCol w:w="4760"/>
        <w:gridCol w:w="2180"/>
      </w:tblGrid>
      <w:tr w:rsidR="006B3F76" w:rsidRPr="009500DD" w:rsidTr="006B3F76">
        <w:trPr>
          <w:trHeight w:val="956"/>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3F76" w:rsidRDefault="006B3F76" w:rsidP="006B3F76">
            <w:pPr>
              <w:spacing w:after="100" w:afterAutospacing="1"/>
              <w:rPr>
                <w:rFonts w:ascii="Calibri" w:hAnsi="Calibri" w:cs="Calibri"/>
                <w:color w:val="000000"/>
              </w:rPr>
            </w:pPr>
            <w:r>
              <w:rPr>
                <w:rFonts w:ascii="Calibri" w:hAnsi="Calibri" w:cs="Calibri"/>
                <w:color w:val="000000"/>
              </w:rPr>
              <w:t>Road length of principal roads in Cheshire East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6B3F76" w:rsidRDefault="006B3F76" w:rsidP="006B3F76">
            <w:pPr>
              <w:spacing w:after="100" w:afterAutospacing="1"/>
              <w:rPr>
                <w:rFonts w:ascii="Calibri" w:hAnsi="Calibri" w:cs="Calibri"/>
                <w:color w:val="000000"/>
              </w:rPr>
            </w:pPr>
            <w:r>
              <w:rPr>
                <w:rFonts w:ascii="Calibri" w:hAnsi="Calibri" w:cs="Calibri"/>
                <w:color w:val="000000"/>
              </w:rPr>
              <w:t>5miles</w:t>
            </w:r>
          </w:p>
        </w:tc>
      </w:tr>
    </w:tbl>
    <w:p w:rsidR="009500DD" w:rsidRDefault="009500DD">
      <w:pPr>
        <w:rPr>
          <w:rFonts w:ascii="Segoe UI" w:hAnsi="Segoe UI" w:cs="Segoe UI"/>
        </w:rPr>
      </w:pPr>
    </w:p>
    <w:tbl>
      <w:tblPr>
        <w:tblW w:w="6940" w:type="dxa"/>
        <w:tblInd w:w="103" w:type="dxa"/>
        <w:tblLook w:val="04A0"/>
      </w:tblPr>
      <w:tblGrid>
        <w:gridCol w:w="4760"/>
        <w:gridCol w:w="2180"/>
      </w:tblGrid>
      <w:tr w:rsidR="006B3F76" w:rsidRPr="009500DD" w:rsidTr="006B3F76">
        <w:trPr>
          <w:trHeight w:val="900"/>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3F76" w:rsidRDefault="006B3F76" w:rsidP="006B3F76">
            <w:pPr>
              <w:spacing w:after="100" w:afterAutospacing="1"/>
              <w:rPr>
                <w:rFonts w:ascii="Calibri" w:hAnsi="Calibri" w:cs="Calibri"/>
                <w:color w:val="000000"/>
              </w:rPr>
            </w:pPr>
            <w:r>
              <w:rPr>
                <w:rFonts w:ascii="Calibri" w:hAnsi="Calibri" w:cs="Calibri"/>
                <w:color w:val="000000"/>
              </w:rPr>
              <w:t>Road length of non-principal roads in Cheshire East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6B3F76" w:rsidRDefault="006B3F76" w:rsidP="006B3F76">
            <w:pPr>
              <w:spacing w:after="100" w:afterAutospacing="1"/>
              <w:rPr>
                <w:rFonts w:ascii="Calibri" w:hAnsi="Calibri" w:cs="Calibri"/>
                <w:color w:val="000000"/>
              </w:rPr>
            </w:pPr>
            <w:r>
              <w:rPr>
                <w:rFonts w:ascii="Calibri" w:hAnsi="Calibri" w:cs="Calibri"/>
                <w:color w:val="000000"/>
              </w:rPr>
              <w:t>60miles</w:t>
            </w:r>
          </w:p>
        </w:tc>
      </w:tr>
    </w:tbl>
    <w:p w:rsidR="009500DD" w:rsidRDefault="009500DD">
      <w:pPr>
        <w:rPr>
          <w:rFonts w:ascii="Segoe UI" w:hAnsi="Segoe UI" w:cs="Segoe UI"/>
        </w:rPr>
      </w:pPr>
    </w:p>
    <w:p w:rsidR="009500DD" w:rsidRDefault="009500DD">
      <w:pPr>
        <w:rPr>
          <w:rFonts w:ascii="Segoe UI" w:hAnsi="Segoe UI" w:cs="Segoe UI"/>
        </w:rPr>
      </w:pPr>
      <w:r w:rsidRPr="009500DD">
        <w:rPr>
          <w:rFonts w:ascii="Segoe UI" w:hAnsi="Segoe UI" w:cs="Segoe UI"/>
        </w:rPr>
        <w:lastRenderedPageBreak/>
        <w:t>Percentage of unclassified roads where maintenance should be considered</w:t>
      </w:r>
    </w:p>
    <w:p w:rsidR="008B21E0" w:rsidRPr="00357E6D" w:rsidRDefault="008B21E0" w:rsidP="008B21E0">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w:t>
      </w:r>
      <w:r>
        <w:rPr>
          <w:rFonts w:ascii="Segoe UI" w:hAnsi="Segoe UI" w:cs="Segoe UI"/>
          <w:i/>
          <w:sz w:val="16"/>
        </w:rPr>
        <w:t>Different survey types between authorities were used in collecting the maintenance data for unclassified roads.  Averages have been calculated on the data as mad</w:t>
      </w:r>
      <w:r w:rsidR="00A75DA5">
        <w:rPr>
          <w:rFonts w:ascii="Segoe UI" w:hAnsi="Segoe UI" w:cs="Segoe UI"/>
          <w:i/>
          <w:sz w:val="16"/>
        </w:rPr>
        <w:t>e available</w:t>
      </w:r>
      <w:r>
        <w:rPr>
          <w:rFonts w:ascii="Segoe UI" w:hAnsi="Segoe UI" w:cs="Segoe UI"/>
          <w:i/>
          <w:sz w:val="16"/>
        </w:rPr>
        <w:t>.</w:t>
      </w:r>
    </w:p>
    <w:p w:rsidR="009500DD" w:rsidRDefault="009500DD">
      <w:pPr>
        <w:rPr>
          <w:rFonts w:ascii="Segoe UI" w:hAnsi="Segoe UI" w:cs="Segoe UI"/>
        </w:rPr>
      </w:pPr>
    </w:p>
    <w:p w:rsidR="009500DD" w:rsidRPr="00630C41" w:rsidRDefault="009500DD">
      <w:pPr>
        <w:rPr>
          <w:rFonts w:ascii="Segoe UI" w:hAnsi="Segoe UI" w:cs="Segoe UI"/>
        </w:rPr>
      </w:pPr>
      <w:r w:rsidRPr="009500DD">
        <w:rPr>
          <w:rFonts w:ascii="Segoe UI" w:hAnsi="Segoe UI" w:cs="Segoe UI"/>
          <w:noProof/>
          <w:lang w:eastAsia="en-GB"/>
        </w:rPr>
        <w:drawing>
          <wp:inline distT="0" distB="0" distL="0" distR="0">
            <wp:extent cx="5943600" cy="2276475"/>
            <wp:effectExtent l="19050" t="0" r="19050" b="0"/>
            <wp:docPr id="100" name="Chart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D711F4" w:rsidRDefault="00D711F4">
      <w:pPr>
        <w:rPr>
          <w:rFonts w:ascii="Segoe UI" w:hAnsi="Segoe UI" w:cs="Segoe UI"/>
          <w:b/>
        </w:rPr>
      </w:pPr>
    </w:p>
    <w:p w:rsidR="003815DA" w:rsidRDefault="003815DA">
      <w:pPr>
        <w:rPr>
          <w:rFonts w:ascii="Segoe UI" w:hAnsi="Segoe UI" w:cs="Segoe UI"/>
          <w:b/>
        </w:rPr>
      </w:pPr>
    </w:p>
    <w:p w:rsidR="00377466" w:rsidRPr="009902B8" w:rsidRDefault="00377466">
      <w:pPr>
        <w:rPr>
          <w:rFonts w:ascii="Segoe UI" w:hAnsi="Segoe UI" w:cs="Segoe UI"/>
          <w:i/>
        </w:rPr>
      </w:pPr>
    </w:p>
    <w:p w:rsidR="00C13421" w:rsidRDefault="00C13421">
      <w:pPr>
        <w:rPr>
          <w:rFonts w:ascii="Segoe UI" w:hAnsi="Segoe UI" w:cs="Segoe UI"/>
          <w:b/>
          <w:u w:val="single"/>
        </w:rPr>
      </w:pPr>
      <w:bookmarkStart w:id="3" w:name="Speed"/>
      <w:bookmarkEnd w:id="3"/>
      <w:r>
        <w:rPr>
          <w:rFonts w:ascii="Segoe UI" w:hAnsi="Segoe UI" w:cs="Segoe UI"/>
          <w:b/>
          <w:u w:val="single"/>
        </w:rPr>
        <w:br w:type="page"/>
      </w:r>
    </w:p>
    <w:p w:rsidR="00500FD5" w:rsidRPr="00153631" w:rsidRDefault="00214346">
      <w:pPr>
        <w:rPr>
          <w:rFonts w:ascii="Segoe UI" w:hAnsi="Segoe UI" w:cs="Segoe UI"/>
          <w:b/>
          <w:u w:val="single"/>
        </w:rPr>
      </w:pPr>
      <w:r>
        <w:rPr>
          <w:rFonts w:ascii="Segoe UI" w:hAnsi="Segoe UI" w:cs="Segoe UI"/>
          <w:b/>
          <w:u w:val="single"/>
        </w:rPr>
        <w:lastRenderedPageBreak/>
        <w:t>Road speed and delay</w:t>
      </w:r>
    </w:p>
    <w:p w:rsidR="00153631" w:rsidRDefault="00153631">
      <w:pPr>
        <w:rPr>
          <w:rFonts w:ascii="Segoe UI" w:hAnsi="Segoe UI" w:cs="Segoe UI"/>
        </w:rPr>
      </w:pPr>
    </w:p>
    <w:p w:rsidR="00EF6F56" w:rsidRDefault="00EF6F56">
      <w:pPr>
        <w:rPr>
          <w:rFonts w:ascii="Segoe UI" w:hAnsi="Segoe UI" w:cs="Segoe UI"/>
        </w:rPr>
      </w:pPr>
      <w:r w:rsidRPr="00EF6F56">
        <w:rPr>
          <w:rFonts w:ascii="Segoe UI" w:hAnsi="Segoe UI" w:cs="Segoe UI"/>
        </w:rPr>
        <w:t>Average speed on local 'A' roads</w:t>
      </w:r>
    </w:p>
    <w:p w:rsidR="00EF6F56" w:rsidRDefault="000E6E0C">
      <w:pPr>
        <w:rPr>
          <w:rFonts w:ascii="Segoe UI" w:hAnsi="Segoe UI" w:cs="Segoe UI"/>
          <w:sz w:val="18"/>
        </w:rPr>
      </w:pPr>
      <w:r w:rsidRPr="000E6E0C">
        <w:rPr>
          <w:rFonts w:ascii="Segoe UI" w:hAnsi="Segoe UI" w:cs="Segoe UI"/>
          <w:sz w:val="18"/>
        </w:rPr>
        <w:t xml:space="preserve">The </w:t>
      </w:r>
      <w:r>
        <w:rPr>
          <w:rFonts w:ascii="Segoe UI" w:hAnsi="Segoe UI" w:cs="Segoe UI"/>
          <w:sz w:val="18"/>
        </w:rPr>
        <w:t xml:space="preserve">average speed </w:t>
      </w:r>
      <w:r w:rsidRPr="000E6E0C">
        <w:rPr>
          <w:rFonts w:ascii="Segoe UI" w:hAnsi="Segoe UI" w:cs="Segoe UI"/>
          <w:sz w:val="18"/>
        </w:rPr>
        <w:t>measure weights speed observations from a sample of vehicles by associated traffic flows so that it is representative of traffic volumes on the roads in different locations and at different times of day.</w:t>
      </w:r>
      <w:r w:rsidR="000A31A2">
        <w:rPr>
          <w:rFonts w:ascii="Segoe UI" w:hAnsi="Segoe UI" w:cs="Segoe UI"/>
          <w:sz w:val="18"/>
        </w:rPr>
        <w:t xml:space="preserve">  </w:t>
      </w:r>
      <w:r w:rsidR="000A31A2" w:rsidRPr="000A31A2">
        <w:rPr>
          <w:rFonts w:ascii="Segoe UI" w:hAnsi="Segoe UI" w:cs="Segoe UI"/>
          <w:sz w:val="18"/>
        </w:rPr>
        <w:t>Travel time observations used to calculate this measure are derived from cars and light vans travel time data only.</w:t>
      </w:r>
      <w:r w:rsidR="000A31A2">
        <w:rPr>
          <w:rFonts w:ascii="Segoe UI" w:hAnsi="Segoe UI" w:cs="Segoe UI"/>
          <w:sz w:val="18"/>
        </w:rPr>
        <w:t xml:space="preserve">  </w:t>
      </w:r>
      <w:r w:rsidR="000A31A2" w:rsidRPr="000A31A2">
        <w:rPr>
          <w:rFonts w:ascii="Segoe UI" w:hAnsi="Segoe UI" w:cs="Segoe UI"/>
          <w:sz w:val="18"/>
        </w:rPr>
        <w:t>All day average speed calculated across the complete 24 hourly period and includes all days (weekdays, weekends, bank holidays etc.)</w:t>
      </w:r>
    </w:p>
    <w:p w:rsidR="000A31A2" w:rsidRPr="000E6E0C"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1" name="Chart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0A31A2" w:rsidRDefault="000A31A2">
      <w:pPr>
        <w:rPr>
          <w:rFonts w:ascii="Segoe UI" w:hAnsi="Segoe UI" w:cs="Segoe UI"/>
        </w:rPr>
      </w:pPr>
      <w:r>
        <w:rPr>
          <w:rFonts w:ascii="Segoe UI" w:hAnsi="Segoe UI" w:cs="Segoe UI"/>
        </w:rPr>
        <w:br w:type="page"/>
      </w:r>
    </w:p>
    <w:p w:rsidR="00EF6F56" w:rsidRDefault="00EF6F56">
      <w:pPr>
        <w:rPr>
          <w:rFonts w:ascii="Segoe UI" w:hAnsi="Segoe UI" w:cs="Segoe UI"/>
        </w:rPr>
      </w:pPr>
      <w:r w:rsidRPr="00EF6F56">
        <w:rPr>
          <w:rFonts w:ascii="Segoe UI" w:hAnsi="Segoe UI" w:cs="Segoe UI"/>
        </w:rPr>
        <w:lastRenderedPageBreak/>
        <w:t>Average delay on locally managed 'A' roads</w:t>
      </w:r>
    </w:p>
    <w:p w:rsidR="00EF6F56" w:rsidRDefault="000A31A2">
      <w:pPr>
        <w:rPr>
          <w:rFonts w:ascii="Segoe UI" w:hAnsi="Segoe UI" w:cs="Segoe UI"/>
          <w:sz w:val="18"/>
        </w:rPr>
      </w:pPr>
      <w:r w:rsidRPr="000A31A2">
        <w:rPr>
          <w:rFonts w:ascii="Segoe UI" w:hAnsi="Segoe UI" w:cs="Segoe UI"/>
          <w:sz w:val="18"/>
        </w:rPr>
        <w:t>Delay is calculated by subtracting derived ‘free flow’ travel times from observed travel times for individual road sections.  Free flow travel times are calculated using the 85th  percentile speed observation for each individual road sections. These are 'capped' at national speed limits.</w:t>
      </w:r>
      <w:r>
        <w:rPr>
          <w:rFonts w:ascii="Segoe UI" w:hAnsi="Segoe UI" w:cs="Segoe UI"/>
          <w:sz w:val="18"/>
        </w:rPr>
        <w:t xml:space="preserve">  </w:t>
      </w:r>
      <w:r w:rsidRPr="000A31A2">
        <w:rPr>
          <w:rFonts w:ascii="Segoe UI" w:hAnsi="Segoe UI" w:cs="Segoe UI"/>
          <w:sz w:val="18"/>
        </w:rPr>
        <w:t>Average delay is calculated by aggregating delay estimates from individual road sections and weighting observations by associated traffic flows so that it is representative of traffic volumes.</w:t>
      </w:r>
      <w:r>
        <w:rPr>
          <w:rFonts w:ascii="Segoe UI" w:hAnsi="Segoe UI" w:cs="Segoe UI"/>
          <w:sz w:val="18"/>
        </w:rPr>
        <w:t xml:space="preserve">  </w:t>
      </w:r>
      <w:r w:rsidRPr="000A31A2">
        <w:rPr>
          <w:rFonts w:ascii="Segoe UI" w:hAnsi="Segoe UI" w:cs="Segoe UI"/>
          <w:sz w:val="18"/>
        </w:rPr>
        <w:t>Travel time observations used to calculate this measure are derived from cars and light vans data only.</w:t>
      </w:r>
      <w:r>
        <w:rPr>
          <w:rFonts w:ascii="Segoe UI" w:hAnsi="Segoe UI" w:cs="Segoe UI"/>
          <w:sz w:val="18"/>
        </w:rPr>
        <w:t xml:space="preserve">  </w:t>
      </w:r>
      <w:r w:rsidRPr="000A31A2">
        <w:rPr>
          <w:rFonts w:ascii="Segoe UI" w:hAnsi="Segoe UI" w:cs="Segoe UI"/>
          <w:sz w:val="18"/>
        </w:rPr>
        <w:t>All day average delay calculated across the complete 24 hourly period and includes all days (weekdays, weekends, bank holidays etc.)</w:t>
      </w:r>
    </w:p>
    <w:p w:rsidR="000A31A2" w:rsidRPr="000A31A2"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2" name="Chart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52568F" w:rsidRDefault="0052568F">
      <w:pPr>
        <w:rPr>
          <w:rFonts w:ascii="Segoe UI" w:hAnsi="Segoe UI" w:cs="Segoe UI"/>
        </w:rPr>
      </w:pPr>
    </w:p>
    <w:p w:rsidR="000A31A2" w:rsidRDefault="000A31A2">
      <w:pPr>
        <w:rPr>
          <w:rFonts w:ascii="Segoe UI" w:hAnsi="Segoe UI" w:cs="Segoe UI"/>
        </w:rPr>
      </w:pPr>
      <w:r>
        <w:rPr>
          <w:rFonts w:ascii="Segoe UI" w:hAnsi="Segoe UI" w:cs="Segoe UI"/>
        </w:rPr>
        <w:br w:type="page"/>
      </w:r>
    </w:p>
    <w:p w:rsidR="00886701" w:rsidRDefault="00214346">
      <w:pPr>
        <w:rPr>
          <w:rFonts w:ascii="Segoe UI" w:hAnsi="Segoe UI" w:cs="Segoe UI"/>
          <w:b/>
          <w:u w:val="single"/>
        </w:rPr>
      </w:pPr>
      <w:bookmarkStart w:id="4" w:name="Walking"/>
      <w:bookmarkEnd w:id="4"/>
      <w:r>
        <w:rPr>
          <w:rFonts w:ascii="Segoe UI" w:hAnsi="Segoe UI" w:cs="Segoe UI"/>
          <w:b/>
          <w:u w:val="single"/>
        </w:rPr>
        <w:lastRenderedPageBreak/>
        <w:t>Walking and cycling</w:t>
      </w:r>
    </w:p>
    <w:p w:rsidR="00CB452F" w:rsidRDefault="00CB452F">
      <w:pPr>
        <w:rPr>
          <w:rFonts w:ascii="Segoe UI" w:hAnsi="Segoe UI" w:cs="Segoe UI"/>
        </w:rPr>
      </w:pPr>
    </w:p>
    <w:p w:rsidR="00162CA7" w:rsidRDefault="00513C6F">
      <w:pPr>
        <w:rPr>
          <w:rFonts w:ascii="Segoe UI" w:hAnsi="Segoe UI" w:cs="Segoe UI"/>
        </w:rPr>
      </w:pPr>
      <w:r>
        <w:rPr>
          <w:rFonts w:ascii="Segoe UI" w:hAnsi="Segoe UI" w:cs="Segoe UI"/>
        </w:rPr>
        <w:t xml:space="preserve">The following charts relate to statistics covering </w:t>
      </w:r>
      <w:r w:rsidRPr="00513C6F">
        <w:rPr>
          <w:rFonts w:ascii="Segoe UI" w:hAnsi="Segoe UI" w:cs="Segoe UI"/>
        </w:rPr>
        <w:t>the time period mid-November 2015 to mid-November 2016.</w:t>
      </w:r>
    </w:p>
    <w:p w:rsidR="00162CA7" w:rsidRDefault="00162CA7">
      <w:pPr>
        <w:rPr>
          <w:rFonts w:ascii="Segoe UI" w:hAnsi="Segoe UI" w:cs="Segoe UI"/>
        </w:rPr>
      </w:pPr>
    </w:p>
    <w:p w:rsidR="00602484" w:rsidRDefault="00602484">
      <w:pPr>
        <w:rPr>
          <w:rFonts w:ascii="Segoe UI" w:hAnsi="Segoe UI" w:cs="Segoe UI"/>
        </w:rPr>
      </w:pPr>
    </w:p>
    <w:p w:rsidR="00CB452F"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602484" w:rsidRDefault="00602484">
      <w:pPr>
        <w:rPr>
          <w:rFonts w:ascii="Segoe UI" w:hAnsi="Segoe UI" w:cs="Segoe UI"/>
        </w:rPr>
      </w:pPr>
    </w:p>
    <w:p w:rsidR="00417448" w:rsidRDefault="00162CA7">
      <w:pPr>
        <w:rPr>
          <w:rFonts w:ascii="Segoe UI" w:hAnsi="Segoe UI" w:cs="Segoe UI"/>
        </w:rPr>
      </w:pPr>
      <w:r>
        <w:rPr>
          <w:rFonts w:ascii="Segoe UI" w:hAnsi="Segoe UI" w:cs="Segoe UI"/>
        </w:rPr>
        <w:t xml:space="preserve">Walking in the above analysis refers to any </w:t>
      </w:r>
      <w:r w:rsidRPr="00162CA7">
        <w:rPr>
          <w:rFonts w:ascii="Segoe UI" w:hAnsi="Segoe UI" w:cs="Segoe UI"/>
        </w:rPr>
        <w:t>continuous walk of over 10 minutes, irrespective of purpose</w:t>
      </w:r>
      <w:r>
        <w:rPr>
          <w:rFonts w:ascii="Segoe UI" w:hAnsi="Segoe UI" w:cs="Segoe UI"/>
        </w:rPr>
        <w:t xml:space="preserve">.  Cycling in this analysis </w:t>
      </w:r>
      <w:r w:rsidRPr="00162CA7">
        <w:rPr>
          <w:rFonts w:ascii="Segoe UI" w:hAnsi="Segoe UI" w:cs="Segoe UI"/>
        </w:rPr>
        <w:t>refers to any cycling, irrespective of length or purpose.</w:t>
      </w:r>
    </w:p>
    <w:p w:rsidR="00162CA7" w:rsidRDefault="00162CA7">
      <w:pPr>
        <w:rPr>
          <w:rFonts w:ascii="Segoe UI" w:hAnsi="Segoe UI" w:cs="Segoe UI"/>
        </w:rPr>
      </w:pPr>
    </w:p>
    <w:p w:rsidR="00602484" w:rsidRDefault="00602484">
      <w:pPr>
        <w:rPr>
          <w:rFonts w:ascii="Segoe UI" w:hAnsi="Segoe UI" w:cs="Segoe UI"/>
        </w:rPr>
      </w:pPr>
      <w:r>
        <w:rPr>
          <w:rFonts w:ascii="Segoe UI" w:hAnsi="Segoe UI" w:cs="Segoe UI"/>
        </w:rPr>
        <w:br w:type="page"/>
      </w:r>
    </w:p>
    <w:p w:rsidR="00162CA7" w:rsidRDefault="00E57E59">
      <w:pPr>
        <w:rPr>
          <w:rFonts w:ascii="Segoe UI" w:hAnsi="Segoe UI" w:cs="Segoe UI"/>
        </w:rPr>
      </w:pPr>
      <w:r>
        <w:rPr>
          <w:rFonts w:ascii="Segoe UI" w:hAnsi="Segoe UI" w:cs="Segoe UI"/>
        </w:rPr>
        <w:lastRenderedPageBreak/>
        <w:t>Cycling</w:t>
      </w:r>
      <w:r w:rsidRPr="00E57E59">
        <w:rPr>
          <w:rFonts w:ascii="Segoe UI" w:hAnsi="Segoe UI" w:cs="Segoe UI"/>
        </w:rPr>
        <w:t xml:space="preserve"> in th</w:t>
      </w:r>
      <w:r>
        <w:rPr>
          <w:rFonts w:ascii="Segoe UI" w:hAnsi="Segoe UI" w:cs="Segoe UI"/>
        </w:rPr>
        <w:t>e following charts</w:t>
      </w:r>
      <w:r w:rsidRPr="00E57E59">
        <w:rPr>
          <w:rFonts w:ascii="Segoe UI" w:hAnsi="Segoe UI" w:cs="Segoe UI"/>
        </w:rPr>
        <w:t xml:space="preserve"> refers to any cycling, irrespective of length or purpose</w:t>
      </w:r>
      <w:r>
        <w:rPr>
          <w:rFonts w:ascii="Segoe UI" w:hAnsi="Segoe UI" w:cs="Segoe UI"/>
        </w:rPr>
        <w:t xml:space="preserve"> and leisure </w:t>
      </w:r>
      <w:r w:rsidRPr="00E57E59">
        <w:rPr>
          <w:rFonts w:ascii="Segoe UI" w:hAnsi="Segoe UI" w:cs="Segoe UI"/>
        </w:rPr>
        <w:t>refers to cycling for the purpose of health, recreation, training or competition, not to get from place to place.</w:t>
      </w:r>
    </w:p>
    <w:p w:rsidR="00E57E59" w:rsidRDefault="00E57E59">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417448" w:rsidRDefault="00417448">
      <w:pPr>
        <w:rPr>
          <w:rFonts w:ascii="Segoe UI" w:hAnsi="Segoe UI" w:cs="Segoe UI"/>
        </w:rPr>
      </w:pPr>
    </w:p>
    <w:p w:rsidR="00E57E59" w:rsidRDefault="00E57E59">
      <w:pPr>
        <w:rPr>
          <w:rFonts w:ascii="Segoe UI" w:hAnsi="Segoe UI" w:cs="Segoe UI"/>
        </w:rPr>
      </w:pPr>
      <w:r>
        <w:rPr>
          <w:rFonts w:ascii="Segoe UI" w:hAnsi="Segoe UI" w:cs="Segoe UI"/>
        </w:rPr>
        <w:br w:type="page"/>
      </w:r>
    </w:p>
    <w:p w:rsidR="00E57E59" w:rsidRDefault="00E57E59">
      <w:pPr>
        <w:rPr>
          <w:rFonts w:ascii="Segoe UI" w:hAnsi="Segoe UI" w:cs="Segoe UI"/>
        </w:rPr>
      </w:pPr>
      <w:r>
        <w:rPr>
          <w:rFonts w:ascii="Segoe UI" w:hAnsi="Segoe UI" w:cs="Segoe UI"/>
        </w:rPr>
        <w:lastRenderedPageBreak/>
        <w:t>Walking in the following</w:t>
      </w:r>
      <w:r w:rsidRPr="00E57E59">
        <w:rPr>
          <w:rFonts w:ascii="Segoe UI" w:hAnsi="Segoe UI" w:cs="Segoe UI"/>
        </w:rPr>
        <w:t xml:space="preserve"> </w:t>
      </w:r>
      <w:r>
        <w:rPr>
          <w:rFonts w:ascii="Segoe UI" w:hAnsi="Segoe UI" w:cs="Segoe UI"/>
        </w:rPr>
        <w:t>charts</w:t>
      </w:r>
      <w:r w:rsidRPr="00E57E59">
        <w:rPr>
          <w:rFonts w:ascii="Segoe UI" w:hAnsi="Segoe UI" w:cs="Segoe UI"/>
        </w:rPr>
        <w:t xml:space="preserve"> refers to any continuous wal</w:t>
      </w:r>
      <w:r>
        <w:rPr>
          <w:rFonts w:ascii="Segoe UI" w:hAnsi="Segoe UI" w:cs="Segoe UI"/>
        </w:rPr>
        <w:t>k of over 10 minutes, and l</w:t>
      </w:r>
      <w:r w:rsidRPr="00E57E59">
        <w:rPr>
          <w:rFonts w:ascii="Segoe UI" w:hAnsi="Segoe UI" w:cs="Segoe UI"/>
        </w:rPr>
        <w:t>eisure refers to walking for the purpose of health, recreation, training or competition, not to get from place to place.</w:t>
      </w:r>
    </w:p>
    <w:p w:rsidR="00602484" w:rsidRDefault="00602484">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9579D3" w:rsidRDefault="009579D3">
      <w:pPr>
        <w:rPr>
          <w:rFonts w:ascii="Segoe UI" w:hAnsi="Segoe UI" w:cs="Segoe UI"/>
        </w:rPr>
      </w:pPr>
    </w:p>
    <w:p w:rsidR="00E7007C" w:rsidRDefault="00E7007C">
      <w:pPr>
        <w:rPr>
          <w:rFonts w:ascii="Segoe UI" w:hAnsi="Segoe UI" w:cs="Segoe UI"/>
        </w:rPr>
      </w:pPr>
    </w:p>
    <w:p w:rsidR="00CB452F" w:rsidRDefault="00CB452F">
      <w:pPr>
        <w:rPr>
          <w:rFonts w:ascii="Segoe UI" w:hAnsi="Segoe UI" w:cs="Segoe UI"/>
        </w:rPr>
      </w:pPr>
    </w:p>
    <w:p w:rsidR="00A57F92" w:rsidRDefault="00A57F92">
      <w:pPr>
        <w:rPr>
          <w:rFonts w:ascii="Segoe UI" w:hAnsi="Segoe UI" w:cs="Segoe UI"/>
        </w:rPr>
      </w:pP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Pr="00C07765" w:rsidRDefault="000158B1">
      <w:pPr>
        <w:rPr>
          <w:rFonts w:ascii="Segoe UI" w:hAnsi="Segoe UI" w:cs="Segoe UI"/>
        </w:rPr>
      </w:pPr>
      <w:r w:rsidRPr="00C07765">
        <w:rPr>
          <w:rFonts w:ascii="Segoe UI" w:hAnsi="Segoe UI" w:cs="Segoe UI"/>
        </w:rPr>
        <w:t>Department for Transport s</w:t>
      </w:r>
      <w:r w:rsidR="00E07698" w:rsidRPr="00C07765">
        <w:rPr>
          <w:rFonts w:ascii="Segoe UI" w:hAnsi="Segoe UI" w:cs="Segoe UI"/>
        </w:rPr>
        <w:t xml:space="preserve">tatistics - </w:t>
      </w:r>
      <w:r w:rsidRPr="00C07765">
        <w:rPr>
          <w:rFonts w:ascii="Segoe UI" w:hAnsi="Segoe UI" w:cs="Segoe UI"/>
        </w:rPr>
        <w:t xml:space="preserve">Journey Time Statistics, </w:t>
      </w:r>
      <w:r w:rsidR="009E5806" w:rsidRPr="00C07765">
        <w:rPr>
          <w:rFonts w:ascii="Segoe UI" w:hAnsi="Segoe UI" w:cs="Segoe UI"/>
        </w:rPr>
        <w:t>Table</w:t>
      </w:r>
      <w:r w:rsidRPr="00C07765">
        <w:rPr>
          <w:rFonts w:ascii="Segoe UI" w:hAnsi="Segoe UI" w:cs="Segoe UI"/>
        </w:rPr>
        <w:t>s</w:t>
      </w:r>
      <w:r w:rsidR="009E5806" w:rsidRPr="00C07765">
        <w:rPr>
          <w:rFonts w:ascii="Segoe UI" w:hAnsi="Segoe UI" w:cs="Segoe UI"/>
        </w:rPr>
        <w:t xml:space="preserve"> </w:t>
      </w:r>
      <w:r w:rsidRPr="00C07765">
        <w:rPr>
          <w:rFonts w:ascii="Segoe UI" w:hAnsi="Segoe UI" w:cs="Segoe UI"/>
        </w:rPr>
        <w:t>JTS0401 to JTS0409</w:t>
      </w:r>
    </w:p>
    <w:p w:rsidR="00FE0842" w:rsidRPr="00C07765" w:rsidRDefault="000158B1">
      <w:pPr>
        <w:rPr>
          <w:rFonts w:ascii="Segoe UI" w:hAnsi="Segoe UI" w:cs="Segoe UI"/>
        </w:rPr>
      </w:pPr>
      <w:r w:rsidRPr="00C07765">
        <w:rPr>
          <w:rFonts w:ascii="Segoe UI" w:hAnsi="Segoe UI" w:cs="Segoe UI"/>
        </w:rPr>
        <w:t>Department for Transport statistics</w:t>
      </w:r>
      <w:r w:rsidR="009E5806" w:rsidRPr="00C07765">
        <w:rPr>
          <w:rFonts w:ascii="Segoe UI" w:hAnsi="Segoe UI" w:cs="Segoe UI"/>
        </w:rPr>
        <w:t xml:space="preserve"> - </w:t>
      </w:r>
      <w:r w:rsidRPr="00C07765">
        <w:rPr>
          <w:rFonts w:ascii="Segoe UI" w:hAnsi="Segoe UI" w:cs="Segoe UI"/>
        </w:rPr>
        <w:t>Vehicle Traffic and Flow, Tables TRA8901, 8902, 8903, 8907</w:t>
      </w:r>
    </w:p>
    <w:p w:rsidR="00727708" w:rsidRPr="00C07765" w:rsidRDefault="00727708">
      <w:pPr>
        <w:rPr>
          <w:rFonts w:ascii="Segoe UI" w:hAnsi="Segoe UI" w:cs="Segoe UI"/>
        </w:rPr>
      </w:pPr>
      <w:r w:rsidRPr="00C07765">
        <w:rPr>
          <w:rFonts w:ascii="Segoe UI" w:hAnsi="Segoe UI" w:cs="Segoe UI"/>
        </w:rPr>
        <w:t>Department for Transport statistics - Total Road Length, Table RDL0102a</w:t>
      </w:r>
    </w:p>
    <w:p w:rsidR="00727708" w:rsidRPr="00C07765" w:rsidRDefault="00727708" w:rsidP="00727708">
      <w:pPr>
        <w:rPr>
          <w:rFonts w:ascii="Segoe UI" w:hAnsi="Segoe UI" w:cs="Segoe UI"/>
        </w:rPr>
      </w:pPr>
      <w:r w:rsidRPr="00C07765">
        <w:rPr>
          <w:rFonts w:ascii="Segoe UI" w:hAnsi="Segoe UI" w:cs="Segoe UI"/>
        </w:rPr>
        <w:t xml:space="preserve">Department for Transport statistics - </w:t>
      </w:r>
      <w:r w:rsidR="00246E3A" w:rsidRPr="00C07765">
        <w:rPr>
          <w:rFonts w:ascii="Segoe UI" w:hAnsi="Segoe UI" w:cs="Segoe UI"/>
        </w:rPr>
        <w:t>Classified roads where maintenance should be considered, Table RDL0120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C07765" w:rsidP="00727708">
      <w:pPr>
        <w:rPr>
          <w:rFonts w:ascii="Segoe UI" w:hAnsi="Segoe UI" w:cs="Segoe UI"/>
        </w:rPr>
      </w:pPr>
      <w:r w:rsidRPr="00C07765">
        <w:rPr>
          <w:rFonts w:ascii="Segoe UI" w:hAnsi="Segoe UI" w:cs="Segoe UI"/>
        </w:rPr>
        <w:t>Department for Transport statistics - Average speed on local 'A' roads, Table CGN0501</w:t>
      </w:r>
    </w:p>
    <w:p w:rsidR="00C07765" w:rsidRDefault="00C07765" w:rsidP="00C07765">
      <w:pPr>
        <w:rPr>
          <w:rFonts w:ascii="Segoe UI" w:hAnsi="Segoe UI" w:cs="Segoe UI"/>
        </w:rPr>
      </w:pPr>
      <w:r w:rsidRPr="00C07765">
        <w:rPr>
          <w:rFonts w:ascii="Segoe UI" w:hAnsi="Segoe UI" w:cs="Segoe UI"/>
        </w:rPr>
        <w:t>Department for Transport statistics - Average delay on local 'A' roads, Table CGN0502</w:t>
      </w:r>
    </w:p>
    <w:p w:rsidR="00D9047C" w:rsidRPr="00C07765" w:rsidRDefault="00D9047C" w:rsidP="00C07765">
      <w:pPr>
        <w:rPr>
          <w:rFonts w:ascii="Segoe UI" w:hAnsi="Segoe UI" w:cs="Segoe UI"/>
        </w:rPr>
      </w:pPr>
      <w:r w:rsidRPr="00C07765">
        <w:rPr>
          <w:rFonts w:ascii="Segoe UI" w:hAnsi="Segoe UI" w:cs="Segoe UI"/>
        </w:rPr>
        <w:t>Department for Transport statistics -</w:t>
      </w:r>
      <w:r>
        <w:rPr>
          <w:rFonts w:ascii="Segoe UI" w:hAnsi="Segoe UI" w:cs="Segoe UI"/>
        </w:rPr>
        <w:t xml:space="preserve"> Walking and Cycling Statistics, Tables CW0301, 0302, 0303</w:t>
      </w:r>
    </w:p>
    <w:sectPr w:rsidR="00D9047C" w:rsidRPr="00C07765" w:rsidSect="00E33D6C">
      <w:pgSz w:w="11906" w:h="16838"/>
      <w:pgMar w:top="1440" w:right="849"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A58A6"/>
    <w:rsid w:val="000158B1"/>
    <w:rsid w:val="00023D6D"/>
    <w:rsid w:val="00034AE0"/>
    <w:rsid w:val="0004365F"/>
    <w:rsid w:val="00054C2A"/>
    <w:rsid w:val="00057D91"/>
    <w:rsid w:val="00072149"/>
    <w:rsid w:val="00075447"/>
    <w:rsid w:val="00077094"/>
    <w:rsid w:val="000A253B"/>
    <w:rsid w:val="000A31A2"/>
    <w:rsid w:val="000B410A"/>
    <w:rsid w:val="000D1137"/>
    <w:rsid w:val="000D7426"/>
    <w:rsid w:val="000E0225"/>
    <w:rsid w:val="000E6E0C"/>
    <w:rsid w:val="00111193"/>
    <w:rsid w:val="001157F0"/>
    <w:rsid w:val="00123766"/>
    <w:rsid w:val="00136993"/>
    <w:rsid w:val="00137983"/>
    <w:rsid w:val="001458E3"/>
    <w:rsid w:val="0015049E"/>
    <w:rsid w:val="00153631"/>
    <w:rsid w:val="00154234"/>
    <w:rsid w:val="00162CA7"/>
    <w:rsid w:val="00163203"/>
    <w:rsid w:val="00163DF2"/>
    <w:rsid w:val="00171D21"/>
    <w:rsid w:val="001779A1"/>
    <w:rsid w:val="00182EBD"/>
    <w:rsid w:val="0019099A"/>
    <w:rsid w:val="001B2B01"/>
    <w:rsid w:val="001B5EA1"/>
    <w:rsid w:val="001C52DE"/>
    <w:rsid w:val="001D6CB6"/>
    <w:rsid w:val="001E09A4"/>
    <w:rsid w:val="001F4A28"/>
    <w:rsid w:val="00212307"/>
    <w:rsid w:val="00214346"/>
    <w:rsid w:val="0021628D"/>
    <w:rsid w:val="002211F3"/>
    <w:rsid w:val="00230CF6"/>
    <w:rsid w:val="002348E6"/>
    <w:rsid w:val="002408BD"/>
    <w:rsid w:val="00246E3A"/>
    <w:rsid w:val="00256D31"/>
    <w:rsid w:val="00257FBA"/>
    <w:rsid w:val="002651E1"/>
    <w:rsid w:val="00274ED9"/>
    <w:rsid w:val="002B39D0"/>
    <w:rsid w:val="002C6BB4"/>
    <w:rsid w:val="002D62CB"/>
    <w:rsid w:val="00326C5A"/>
    <w:rsid w:val="0033684A"/>
    <w:rsid w:val="00340480"/>
    <w:rsid w:val="00340CF5"/>
    <w:rsid w:val="00357E6D"/>
    <w:rsid w:val="00360FD9"/>
    <w:rsid w:val="00377466"/>
    <w:rsid w:val="003815DA"/>
    <w:rsid w:val="00383CA1"/>
    <w:rsid w:val="003878B8"/>
    <w:rsid w:val="003A18D3"/>
    <w:rsid w:val="003B5117"/>
    <w:rsid w:val="003C1462"/>
    <w:rsid w:val="003C40D8"/>
    <w:rsid w:val="003C7651"/>
    <w:rsid w:val="003D7517"/>
    <w:rsid w:val="003E7C4A"/>
    <w:rsid w:val="004033DF"/>
    <w:rsid w:val="00415E18"/>
    <w:rsid w:val="00417448"/>
    <w:rsid w:val="00427EEE"/>
    <w:rsid w:val="00443081"/>
    <w:rsid w:val="00445CF6"/>
    <w:rsid w:val="00451FF7"/>
    <w:rsid w:val="004623CF"/>
    <w:rsid w:val="00465750"/>
    <w:rsid w:val="00475274"/>
    <w:rsid w:val="004972B9"/>
    <w:rsid w:val="004A1C29"/>
    <w:rsid w:val="004A44E1"/>
    <w:rsid w:val="004B4BE1"/>
    <w:rsid w:val="004C095C"/>
    <w:rsid w:val="004C2A1C"/>
    <w:rsid w:val="004D3814"/>
    <w:rsid w:val="004E747D"/>
    <w:rsid w:val="00500FD5"/>
    <w:rsid w:val="00513C6F"/>
    <w:rsid w:val="00517C92"/>
    <w:rsid w:val="0052568F"/>
    <w:rsid w:val="00545A25"/>
    <w:rsid w:val="0054613A"/>
    <w:rsid w:val="00555F9F"/>
    <w:rsid w:val="00557B7F"/>
    <w:rsid w:val="0057388A"/>
    <w:rsid w:val="00575E1E"/>
    <w:rsid w:val="00587D4E"/>
    <w:rsid w:val="005947D7"/>
    <w:rsid w:val="005B3FA2"/>
    <w:rsid w:val="005C33B2"/>
    <w:rsid w:val="00600EBE"/>
    <w:rsid w:val="00602484"/>
    <w:rsid w:val="00604F05"/>
    <w:rsid w:val="0060780B"/>
    <w:rsid w:val="00614B35"/>
    <w:rsid w:val="00616D21"/>
    <w:rsid w:val="006245BC"/>
    <w:rsid w:val="00630C41"/>
    <w:rsid w:val="006464CF"/>
    <w:rsid w:val="0065405D"/>
    <w:rsid w:val="00665AAB"/>
    <w:rsid w:val="00675025"/>
    <w:rsid w:val="00680CB9"/>
    <w:rsid w:val="0068362E"/>
    <w:rsid w:val="00692E85"/>
    <w:rsid w:val="006931D7"/>
    <w:rsid w:val="006A3967"/>
    <w:rsid w:val="006A58A6"/>
    <w:rsid w:val="006B3F76"/>
    <w:rsid w:val="006D6F09"/>
    <w:rsid w:val="006E0A15"/>
    <w:rsid w:val="006F2C9A"/>
    <w:rsid w:val="006F4FD3"/>
    <w:rsid w:val="006F75BA"/>
    <w:rsid w:val="0070182B"/>
    <w:rsid w:val="00707CEB"/>
    <w:rsid w:val="00715D9D"/>
    <w:rsid w:val="00727708"/>
    <w:rsid w:val="007404AB"/>
    <w:rsid w:val="0075601D"/>
    <w:rsid w:val="00765529"/>
    <w:rsid w:val="007669F4"/>
    <w:rsid w:val="00786635"/>
    <w:rsid w:val="007A24E2"/>
    <w:rsid w:val="007B5629"/>
    <w:rsid w:val="007C052F"/>
    <w:rsid w:val="007D3509"/>
    <w:rsid w:val="007D4BF5"/>
    <w:rsid w:val="007E0505"/>
    <w:rsid w:val="007E65D3"/>
    <w:rsid w:val="007F5F54"/>
    <w:rsid w:val="007F6504"/>
    <w:rsid w:val="007F66C5"/>
    <w:rsid w:val="007F7192"/>
    <w:rsid w:val="008211F5"/>
    <w:rsid w:val="00826B10"/>
    <w:rsid w:val="0083304D"/>
    <w:rsid w:val="00843934"/>
    <w:rsid w:val="00855650"/>
    <w:rsid w:val="008576ED"/>
    <w:rsid w:val="008615B3"/>
    <w:rsid w:val="00863A32"/>
    <w:rsid w:val="00867BF8"/>
    <w:rsid w:val="00884EF2"/>
    <w:rsid w:val="00886701"/>
    <w:rsid w:val="00886FEC"/>
    <w:rsid w:val="00890675"/>
    <w:rsid w:val="008A1121"/>
    <w:rsid w:val="008B21E0"/>
    <w:rsid w:val="008C071D"/>
    <w:rsid w:val="008C78B5"/>
    <w:rsid w:val="008D1139"/>
    <w:rsid w:val="008D66C0"/>
    <w:rsid w:val="008F3CBB"/>
    <w:rsid w:val="00901241"/>
    <w:rsid w:val="00942DF9"/>
    <w:rsid w:val="009500DD"/>
    <w:rsid w:val="009504FF"/>
    <w:rsid w:val="009528EC"/>
    <w:rsid w:val="00952B99"/>
    <w:rsid w:val="009576E7"/>
    <w:rsid w:val="009579D3"/>
    <w:rsid w:val="009676E3"/>
    <w:rsid w:val="009867B6"/>
    <w:rsid w:val="009902B8"/>
    <w:rsid w:val="00991510"/>
    <w:rsid w:val="009B0857"/>
    <w:rsid w:val="009B632B"/>
    <w:rsid w:val="009B687B"/>
    <w:rsid w:val="009C4491"/>
    <w:rsid w:val="009D5C2F"/>
    <w:rsid w:val="009E5806"/>
    <w:rsid w:val="00A02536"/>
    <w:rsid w:val="00A16075"/>
    <w:rsid w:val="00A3620F"/>
    <w:rsid w:val="00A44C1F"/>
    <w:rsid w:val="00A504D8"/>
    <w:rsid w:val="00A55118"/>
    <w:rsid w:val="00A57F92"/>
    <w:rsid w:val="00A61248"/>
    <w:rsid w:val="00A67FA7"/>
    <w:rsid w:val="00A75DA5"/>
    <w:rsid w:val="00A8038C"/>
    <w:rsid w:val="00AA1C54"/>
    <w:rsid w:val="00AA4EAF"/>
    <w:rsid w:val="00AB2003"/>
    <w:rsid w:val="00AC18BA"/>
    <w:rsid w:val="00AE3362"/>
    <w:rsid w:val="00AF0048"/>
    <w:rsid w:val="00B4609A"/>
    <w:rsid w:val="00B66EC4"/>
    <w:rsid w:val="00B71733"/>
    <w:rsid w:val="00B82315"/>
    <w:rsid w:val="00B84331"/>
    <w:rsid w:val="00B967F2"/>
    <w:rsid w:val="00BA5521"/>
    <w:rsid w:val="00BB01EE"/>
    <w:rsid w:val="00BE0C65"/>
    <w:rsid w:val="00BE32D1"/>
    <w:rsid w:val="00BE3B1E"/>
    <w:rsid w:val="00BF0BE9"/>
    <w:rsid w:val="00BF44B3"/>
    <w:rsid w:val="00C027BE"/>
    <w:rsid w:val="00C07765"/>
    <w:rsid w:val="00C13421"/>
    <w:rsid w:val="00C26302"/>
    <w:rsid w:val="00C27833"/>
    <w:rsid w:val="00C33EE4"/>
    <w:rsid w:val="00C345EF"/>
    <w:rsid w:val="00C427E1"/>
    <w:rsid w:val="00C60E60"/>
    <w:rsid w:val="00C62E3C"/>
    <w:rsid w:val="00C63472"/>
    <w:rsid w:val="00C63A68"/>
    <w:rsid w:val="00C66719"/>
    <w:rsid w:val="00C85FB2"/>
    <w:rsid w:val="00CA0B05"/>
    <w:rsid w:val="00CB452F"/>
    <w:rsid w:val="00CD17F8"/>
    <w:rsid w:val="00CF7E07"/>
    <w:rsid w:val="00D1146E"/>
    <w:rsid w:val="00D170C3"/>
    <w:rsid w:val="00D31FBD"/>
    <w:rsid w:val="00D32C9E"/>
    <w:rsid w:val="00D34678"/>
    <w:rsid w:val="00D3717A"/>
    <w:rsid w:val="00D51F64"/>
    <w:rsid w:val="00D60E26"/>
    <w:rsid w:val="00D61059"/>
    <w:rsid w:val="00D625BB"/>
    <w:rsid w:val="00D711F4"/>
    <w:rsid w:val="00D85C8C"/>
    <w:rsid w:val="00D86CE5"/>
    <w:rsid w:val="00D9047C"/>
    <w:rsid w:val="00D912DE"/>
    <w:rsid w:val="00DA24E3"/>
    <w:rsid w:val="00DA2FFE"/>
    <w:rsid w:val="00DA3CE6"/>
    <w:rsid w:val="00DB0C84"/>
    <w:rsid w:val="00DC21A8"/>
    <w:rsid w:val="00DD0F1F"/>
    <w:rsid w:val="00DE1D53"/>
    <w:rsid w:val="00DE28F6"/>
    <w:rsid w:val="00DE69DB"/>
    <w:rsid w:val="00DF55FA"/>
    <w:rsid w:val="00E06E00"/>
    <w:rsid w:val="00E07698"/>
    <w:rsid w:val="00E12E73"/>
    <w:rsid w:val="00E17957"/>
    <w:rsid w:val="00E21DB6"/>
    <w:rsid w:val="00E24A9C"/>
    <w:rsid w:val="00E33D6C"/>
    <w:rsid w:val="00E43E31"/>
    <w:rsid w:val="00E51B66"/>
    <w:rsid w:val="00E57E59"/>
    <w:rsid w:val="00E60537"/>
    <w:rsid w:val="00E7007C"/>
    <w:rsid w:val="00E758FA"/>
    <w:rsid w:val="00E866F7"/>
    <w:rsid w:val="00E930B7"/>
    <w:rsid w:val="00EB236D"/>
    <w:rsid w:val="00EB5237"/>
    <w:rsid w:val="00EC3808"/>
    <w:rsid w:val="00ED52B1"/>
    <w:rsid w:val="00EE29BA"/>
    <w:rsid w:val="00EE339D"/>
    <w:rsid w:val="00EE7458"/>
    <w:rsid w:val="00EF556D"/>
    <w:rsid w:val="00EF5EFE"/>
    <w:rsid w:val="00EF6F56"/>
    <w:rsid w:val="00F06E52"/>
    <w:rsid w:val="00F3443F"/>
    <w:rsid w:val="00F37401"/>
    <w:rsid w:val="00F60EE2"/>
    <w:rsid w:val="00F6181E"/>
    <w:rsid w:val="00F624C0"/>
    <w:rsid w:val="00F71624"/>
    <w:rsid w:val="00F7542E"/>
    <w:rsid w:val="00F8009A"/>
    <w:rsid w:val="00F93AE4"/>
    <w:rsid w:val="00FA341B"/>
    <w:rsid w:val="00FA49E0"/>
    <w:rsid w:val="00FA7924"/>
    <w:rsid w:val="00FD0E88"/>
    <w:rsid w:val="00FE0842"/>
    <w:rsid w:val="00FE66F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themeColor="hyperlink"/>
      <w:u w:val="single"/>
    </w:rPr>
  </w:style>
  <w:style w:type="character" w:styleId="FollowedHyperlink">
    <w:name w:val="FollowedHyperlink"/>
    <w:basedOn w:val="DefaultParagraphFont"/>
    <w:uiPriority w:val="99"/>
    <w:semiHidden/>
    <w:unhideWhenUsed/>
    <w:rsid w:val="00AA4EAF"/>
    <w:rPr>
      <w:color w:val="954F72" w:themeColor="followedHyperlink"/>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52787552">
      <w:bodyDiv w:val="1"/>
      <w:marLeft w:val="0"/>
      <w:marRight w:val="0"/>
      <w:marTop w:val="0"/>
      <w:marBottom w:val="0"/>
      <w:divBdr>
        <w:top w:val="none" w:sz="0" w:space="0" w:color="auto"/>
        <w:left w:val="none" w:sz="0" w:space="0" w:color="auto"/>
        <w:bottom w:val="none" w:sz="0" w:space="0" w:color="auto"/>
        <w:right w:val="none" w:sz="0" w:space="0" w:color="auto"/>
      </w:divBdr>
    </w:div>
    <w:div w:id="253166940">
      <w:bodyDiv w:val="1"/>
      <w:marLeft w:val="0"/>
      <w:marRight w:val="0"/>
      <w:marTop w:val="0"/>
      <w:marBottom w:val="0"/>
      <w:divBdr>
        <w:top w:val="none" w:sz="0" w:space="0" w:color="auto"/>
        <w:left w:val="none" w:sz="0" w:space="0" w:color="auto"/>
        <w:bottom w:val="none" w:sz="0" w:space="0" w:color="auto"/>
        <w:right w:val="none" w:sz="0" w:space="0" w:color="auto"/>
      </w:divBdr>
    </w:div>
    <w:div w:id="591934633">
      <w:bodyDiv w:val="1"/>
      <w:marLeft w:val="0"/>
      <w:marRight w:val="0"/>
      <w:marTop w:val="0"/>
      <w:marBottom w:val="0"/>
      <w:divBdr>
        <w:top w:val="none" w:sz="0" w:space="0" w:color="auto"/>
        <w:left w:val="none" w:sz="0" w:space="0" w:color="auto"/>
        <w:bottom w:val="none" w:sz="0" w:space="0" w:color="auto"/>
        <w:right w:val="none" w:sz="0" w:space="0" w:color="auto"/>
      </w:divBdr>
    </w:div>
    <w:div w:id="686061628">
      <w:bodyDiv w:val="1"/>
      <w:marLeft w:val="0"/>
      <w:marRight w:val="0"/>
      <w:marTop w:val="0"/>
      <w:marBottom w:val="0"/>
      <w:divBdr>
        <w:top w:val="none" w:sz="0" w:space="0" w:color="auto"/>
        <w:left w:val="none" w:sz="0" w:space="0" w:color="auto"/>
        <w:bottom w:val="none" w:sz="0" w:space="0" w:color="auto"/>
        <w:right w:val="none" w:sz="0" w:space="0" w:color="auto"/>
      </w:divBdr>
    </w:div>
    <w:div w:id="863204165">
      <w:bodyDiv w:val="1"/>
      <w:marLeft w:val="0"/>
      <w:marRight w:val="0"/>
      <w:marTop w:val="0"/>
      <w:marBottom w:val="0"/>
      <w:divBdr>
        <w:top w:val="none" w:sz="0" w:space="0" w:color="auto"/>
        <w:left w:val="none" w:sz="0" w:space="0" w:color="auto"/>
        <w:bottom w:val="none" w:sz="0" w:space="0" w:color="auto"/>
        <w:right w:val="none" w:sz="0" w:space="0" w:color="auto"/>
      </w:divBdr>
    </w:div>
    <w:div w:id="1064110794">
      <w:bodyDiv w:val="1"/>
      <w:marLeft w:val="0"/>
      <w:marRight w:val="0"/>
      <w:marTop w:val="0"/>
      <w:marBottom w:val="0"/>
      <w:divBdr>
        <w:top w:val="none" w:sz="0" w:space="0" w:color="auto"/>
        <w:left w:val="none" w:sz="0" w:space="0" w:color="auto"/>
        <w:bottom w:val="none" w:sz="0" w:space="0" w:color="auto"/>
        <w:right w:val="none" w:sz="0" w:space="0" w:color="auto"/>
      </w:divBdr>
    </w:div>
    <w:div w:id="1106341000">
      <w:bodyDiv w:val="1"/>
      <w:marLeft w:val="0"/>
      <w:marRight w:val="0"/>
      <w:marTop w:val="0"/>
      <w:marBottom w:val="0"/>
      <w:divBdr>
        <w:top w:val="none" w:sz="0" w:space="0" w:color="auto"/>
        <w:left w:val="none" w:sz="0" w:space="0" w:color="auto"/>
        <w:bottom w:val="none" w:sz="0" w:space="0" w:color="auto"/>
        <w:right w:val="none" w:sz="0" w:space="0" w:color="auto"/>
      </w:divBdr>
    </w:div>
    <w:div w:id="1416517019">
      <w:bodyDiv w:val="1"/>
      <w:marLeft w:val="0"/>
      <w:marRight w:val="0"/>
      <w:marTop w:val="0"/>
      <w:marBottom w:val="0"/>
      <w:divBdr>
        <w:top w:val="none" w:sz="0" w:space="0" w:color="auto"/>
        <w:left w:val="none" w:sz="0" w:space="0" w:color="auto"/>
        <w:bottom w:val="none" w:sz="0" w:space="0" w:color="auto"/>
        <w:right w:val="none" w:sz="0" w:space="0" w:color="auto"/>
      </w:divBdr>
    </w:div>
    <w:div w:id="1457138753">
      <w:bodyDiv w:val="1"/>
      <w:marLeft w:val="0"/>
      <w:marRight w:val="0"/>
      <w:marTop w:val="0"/>
      <w:marBottom w:val="0"/>
      <w:divBdr>
        <w:top w:val="none" w:sz="0" w:space="0" w:color="auto"/>
        <w:left w:val="none" w:sz="0" w:space="0" w:color="auto"/>
        <w:bottom w:val="none" w:sz="0" w:space="0" w:color="auto"/>
        <w:right w:val="none" w:sz="0" w:space="0" w:color="auto"/>
      </w:divBdr>
    </w:div>
    <w:div w:id="1555655521">
      <w:bodyDiv w:val="1"/>
      <w:marLeft w:val="0"/>
      <w:marRight w:val="0"/>
      <w:marTop w:val="0"/>
      <w:marBottom w:val="0"/>
      <w:divBdr>
        <w:top w:val="none" w:sz="0" w:space="0" w:color="auto"/>
        <w:left w:val="none" w:sz="0" w:space="0" w:color="auto"/>
        <w:bottom w:val="none" w:sz="0" w:space="0" w:color="auto"/>
        <w:right w:val="none" w:sz="0" w:space="0" w:color="auto"/>
      </w:divBdr>
    </w:div>
    <w:div w:id="1575311875">
      <w:bodyDiv w:val="1"/>
      <w:marLeft w:val="0"/>
      <w:marRight w:val="0"/>
      <w:marTop w:val="0"/>
      <w:marBottom w:val="0"/>
      <w:divBdr>
        <w:top w:val="none" w:sz="0" w:space="0" w:color="auto"/>
        <w:left w:val="none" w:sz="0" w:space="0" w:color="auto"/>
        <w:bottom w:val="none" w:sz="0" w:space="0" w:color="auto"/>
        <w:right w:val="none" w:sz="0" w:space="0" w:color="auto"/>
      </w:divBdr>
    </w:div>
    <w:div w:id="159392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9" Type="http://schemas.openxmlformats.org/officeDocument/2006/relationships/chart" Target="charts/chart33.xml"/><Relationship Id="rId21" Type="http://schemas.openxmlformats.org/officeDocument/2006/relationships/chart" Target="charts/chart15.xml"/><Relationship Id="rId34" Type="http://schemas.openxmlformats.org/officeDocument/2006/relationships/chart" Target="charts/chart28.xml"/><Relationship Id="rId42" Type="http://schemas.openxmlformats.org/officeDocument/2006/relationships/chart" Target="charts/chart36.xml"/><Relationship Id="rId47" Type="http://schemas.openxmlformats.org/officeDocument/2006/relationships/chart" Target="charts/chart41.xml"/><Relationship Id="rId50" Type="http://schemas.openxmlformats.org/officeDocument/2006/relationships/chart" Target="charts/chart44.xml"/><Relationship Id="rId55" Type="http://schemas.openxmlformats.org/officeDocument/2006/relationships/chart" Target="charts/chart49.xml"/><Relationship Id="rId63" Type="http://schemas.openxmlformats.org/officeDocument/2006/relationships/chart" Target="charts/chart57.xml"/><Relationship Id="rId68" Type="http://schemas.openxmlformats.org/officeDocument/2006/relationships/chart" Target="charts/chart62.xml"/><Relationship Id="rId76" Type="http://schemas.openxmlformats.org/officeDocument/2006/relationships/chart" Target="charts/chart70.xml"/><Relationship Id="rId7" Type="http://schemas.openxmlformats.org/officeDocument/2006/relationships/chart" Target="charts/chart1.xml"/><Relationship Id="rId71" Type="http://schemas.openxmlformats.org/officeDocument/2006/relationships/chart" Target="charts/chart65.xml"/><Relationship Id="rId2" Type="http://schemas.openxmlformats.org/officeDocument/2006/relationships/numbering" Target="numbering.xml"/><Relationship Id="rId16" Type="http://schemas.openxmlformats.org/officeDocument/2006/relationships/chart" Target="charts/chart10.xml"/><Relationship Id="rId29" Type="http://schemas.openxmlformats.org/officeDocument/2006/relationships/chart" Target="charts/chart23.xml"/><Relationship Id="rId11" Type="http://schemas.openxmlformats.org/officeDocument/2006/relationships/chart" Target="charts/chart5.xml"/><Relationship Id="rId24" Type="http://schemas.openxmlformats.org/officeDocument/2006/relationships/chart" Target="charts/chart18.xml"/><Relationship Id="rId32" Type="http://schemas.openxmlformats.org/officeDocument/2006/relationships/chart" Target="charts/chart26.xml"/><Relationship Id="rId37" Type="http://schemas.openxmlformats.org/officeDocument/2006/relationships/chart" Target="charts/chart31.xml"/><Relationship Id="rId40" Type="http://schemas.openxmlformats.org/officeDocument/2006/relationships/chart" Target="charts/chart34.xml"/><Relationship Id="rId45" Type="http://schemas.openxmlformats.org/officeDocument/2006/relationships/chart" Target="charts/chart39.xml"/><Relationship Id="rId53" Type="http://schemas.openxmlformats.org/officeDocument/2006/relationships/chart" Target="charts/chart47.xml"/><Relationship Id="rId58" Type="http://schemas.openxmlformats.org/officeDocument/2006/relationships/chart" Target="charts/chart52.xml"/><Relationship Id="rId66" Type="http://schemas.openxmlformats.org/officeDocument/2006/relationships/chart" Target="charts/chart60.xml"/><Relationship Id="rId74" Type="http://schemas.openxmlformats.org/officeDocument/2006/relationships/chart" Target="charts/chart68.xml"/><Relationship Id="rId79" Type="http://schemas.openxmlformats.org/officeDocument/2006/relationships/chart" Target="charts/chart73.xml"/><Relationship Id="rId5" Type="http://schemas.openxmlformats.org/officeDocument/2006/relationships/webSettings" Target="webSettings.xml"/><Relationship Id="rId61" Type="http://schemas.openxmlformats.org/officeDocument/2006/relationships/chart" Target="charts/chart55.xml"/><Relationship Id="rId82"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chart" Target="charts/chart25.xml"/><Relationship Id="rId44" Type="http://schemas.openxmlformats.org/officeDocument/2006/relationships/chart" Target="charts/chart38.xml"/><Relationship Id="rId52" Type="http://schemas.openxmlformats.org/officeDocument/2006/relationships/chart" Target="charts/chart46.xml"/><Relationship Id="rId60" Type="http://schemas.openxmlformats.org/officeDocument/2006/relationships/chart" Target="charts/chart54.xml"/><Relationship Id="rId65" Type="http://schemas.openxmlformats.org/officeDocument/2006/relationships/chart" Target="charts/chart59.xml"/><Relationship Id="rId73" Type="http://schemas.openxmlformats.org/officeDocument/2006/relationships/chart" Target="charts/chart67.xml"/><Relationship Id="rId78" Type="http://schemas.openxmlformats.org/officeDocument/2006/relationships/chart" Target="charts/chart72.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21.xml"/><Relationship Id="rId30" Type="http://schemas.openxmlformats.org/officeDocument/2006/relationships/chart" Target="charts/chart24.xml"/><Relationship Id="rId35" Type="http://schemas.openxmlformats.org/officeDocument/2006/relationships/chart" Target="charts/chart29.xml"/><Relationship Id="rId43" Type="http://schemas.openxmlformats.org/officeDocument/2006/relationships/chart" Target="charts/chart37.xml"/><Relationship Id="rId48" Type="http://schemas.openxmlformats.org/officeDocument/2006/relationships/chart" Target="charts/chart42.xml"/><Relationship Id="rId56" Type="http://schemas.openxmlformats.org/officeDocument/2006/relationships/chart" Target="charts/chart50.xml"/><Relationship Id="rId64" Type="http://schemas.openxmlformats.org/officeDocument/2006/relationships/chart" Target="charts/chart58.xml"/><Relationship Id="rId69" Type="http://schemas.openxmlformats.org/officeDocument/2006/relationships/chart" Target="charts/chart63.xml"/><Relationship Id="rId77" Type="http://schemas.openxmlformats.org/officeDocument/2006/relationships/chart" Target="charts/chart71.xml"/><Relationship Id="rId8" Type="http://schemas.openxmlformats.org/officeDocument/2006/relationships/chart" Target="charts/chart2.xml"/><Relationship Id="rId51" Type="http://schemas.openxmlformats.org/officeDocument/2006/relationships/chart" Target="charts/chart45.xml"/><Relationship Id="rId72" Type="http://schemas.openxmlformats.org/officeDocument/2006/relationships/chart" Target="charts/chart66.xml"/><Relationship Id="rId80" Type="http://schemas.openxmlformats.org/officeDocument/2006/relationships/chart" Target="charts/chart74.xml"/><Relationship Id="rId3" Type="http://schemas.openxmlformats.org/officeDocument/2006/relationships/styles" Target="styles.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33" Type="http://schemas.openxmlformats.org/officeDocument/2006/relationships/chart" Target="charts/chart27.xml"/><Relationship Id="rId38" Type="http://schemas.openxmlformats.org/officeDocument/2006/relationships/chart" Target="charts/chart32.xml"/><Relationship Id="rId46" Type="http://schemas.openxmlformats.org/officeDocument/2006/relationships/chart" Target="charts/chart40.xml"/><Relationship Id="rId59" Type="http://schemas.openxmlformats.org/officeDocument/2006/relationships/chart" Target="charts/chart53.xml"/><Relationship Id="rId67" Type="http://schemas.openxmlformats.org/officeDocument/2006/relationships/chart" Target="charts/chart61.xml"/><Relationship Id="rId20" Type="http://schemas.openxmlformats.org/officeDocument/2006/relationships/chart" Target="charts/chart14.xml"/><Relationship Id="rId41" Type="http://schemas.openxmlformats.org/officeDocument/2006/relationships/chart" Target="charts/chart35.xml"/><Relationship Id="rId54" Type="http://schemas.openxmlformats.org/officeDocument/2006/relationships/chart" Target="charts/chart48.xml"/><Relationship Id="rId62" Type="http://schemas.openxmlformats.org/officeDocument/2006/relationships/chart" Target="charts/chart56.xml"/><Relationship Id="rId70" Type="http://schemas.openxmlformats.org/officeDocument/2006/relationships/chart" Target="charts/chart64.xml"/><Relationship Id="rId75" Type="http://schemas.openxmlformats.org/officeDocument/2006/relationships/chart" Target="charts/chart69.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2.xml"/><Relationship Id="rId36" Type="http://schemas.openxmlformats.org/officeDocument/2006/relationships/chart" Target="charts/chart30.xml"/><Relationship Id="rId49" Type="http://schemas.openxmlformats.org/officeDocument/2006/relationships/chart" Target="charts/chart43.xml"/><Relationship Id="rId57" Type="http://schemas.openxmlformats.org/officeDocument/2006/relationships/chart" Target="charts/chart51.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6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6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7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employment centre with 100 to 499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Sheet1!$E$380</c:f>
              <c:strCache>
                <c:ptCount val="1"/>
                <c:pt idx="0">
                  <c:v>Predominantly Rural average</c:v>
                </c:pt>
              </c:strCache>
            </c:strRef>
          </c:tx>
          <c:spPr>
            <a:ln w="25400">
              <a:solidFill>
                <a:schemeClr val="bg1">
                  <a:lumMod val="6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16.229196831930103</c:v>
                </c:pt>
                <c:pt idx="1">
                  <c:v>16.770699601008904</c:v>
                </c:pt>
                <c:pt idx="2">
                  <c:v>24.951234328690635</c:v>
                </c:pt>
              </c:numCache>
            </c:numRef>
          </c:val>
        </c:ser>
        <c:ser>
          <c:idx val="2"/>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7.9084776433027333</c:v>
                </c:pt>
                <c:pt idx="1">
                  <c:v>7.8874987257904694</c:v>
                </c:pt>
                <c:pt idx="2">
                  <c:v>9.5929041765560203</c:v>
                </c:pt>
              </c:numCache>
            </c:numRef>
          </c:val>
        </c:ser>
        <c:ser>
          <c:idx val="3"/>
          <c:order val="2"/>
          <c:tx>
            <c:strRef>
              <c:f>Sheet1!$E$382</c:f>
              <c:strCache>
                <c:ptCount val="1"/>
                <c:pt idx="0">
                  <c:v>Unitary Authority average</c:v>
                </c:pt>
              </c:strCache>
            </c:strRef>
          </c:tx>
          <c:spPr>
            <a:ln w="25400">
              <a:solidFill>
                <a:schemeClr val="accent1">
                  <a:lumMod val="40000"/>
                  <a:lumOff val="6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9.8562209334966795</c:v>
                </c:pt>
                <c:pt idx="1">
                  <c:v>9.8317115886041631</c:v>
                </c:pt>
                <c:pt idx="2">
                  <c:v>13.018856911916178</c:v>
                </c:pt>
              </c:numCache>
            </c:numRef>
          </c:val>
        </c:ser>
        <c:ser>
          <c:idx val="4"/>
          <c:order val="3"/>
          <c:tx>
            <c:strRef>
              <c:f>Sheet1!$E$383</c:f>
              <c:strCache>
                <c:ptCount val="1"/>
                <c:pt idx="0">
                  <c:v>Cheshire East</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12.4401097150604</c:v>
                </c:pt>
                <c:pt idx="1">
                  <c:v>12.9444596153561</c:v>
                </c:pt>
                <c:pt idx="2">
                  <c:v>15.850566406980223</c:v>
                </c:pt>
              </c:numCache>
            </c:numRef>
          </c:val>
        </c:ser>
        <c:marker val="1"/>
        <c:axId val="151702528"/>
        <c:axId val="151741184"/>
      </c:lineChart>
      <c:catAx>
        <c:axId val="151702528"/>
        <c:scaling>
          <c:orientation val="minMax"/>
        </c:scaling>
        <c:axPos val="b"/>
        <c:numFmt formatCode="General" sourceLinked="1"/>
        <c:tickLblPos val="nextTo"/>
        <c:crossAx val="151741184"/>
        <c:crosses val="autoZero"/>
        <c:auto val="1"/>
        <c:lblAlgn val="ctr"/>
        <c:lblOffset val="100"/>
      </c:catAx>
      <c:valAx>
        <c:axId val="15174118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702528"/>
        <c:crosses val="autoZero"/>
        <c:crossBetween val="between"/>
      </c:valAx>
    </c:plotArea>
    <c:legend>
      <c:legendPos val="r"/>
      <c:txPr>
        <a:bodyPr/>
        <a:lstStyle/>
        <a:p>
          <a:pPr>
            <a:defRPr sz="800"/>
          </a:pPr>
          <a:endParaRPr lang="en-US"/>
        </a:p>
      </c:txP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primary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11.959155448582164</c:v>
                </c:pt>
                <c:pt idx="1">
                  <c:v>12.231535100498649</c:v>
                </c:pt>
                <c:pt idx="2">
                  <c:v>12.62533076507386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8.4677434474910349</c:v>
                </c:pt>
                <c:pt idx="1">
                  <c:v>8.499658014718225</c:v>
                </c:pt>
                <c:pt idx="2">
                  <c:v>9.0622495355692738</c:v>
                </c:pt>
              </c:numCache>
            </c:numRef>
          </c:val>
        </c:ser>
        <c:ser>
          <c:idx val="2"/>
          <c:order val="2"/>
          <c:tx>
            <c:strRef>
              <c:f>Sheet1!$E$382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9.2915680610478919</c:v>
                </c:pt>
                <c:pt idx="1">
                  <c:v>9.3573501581371428</c:v>
                </c:pt>
                <c:pt idx="2">
                  <c:v>9.9653896326193188</c:v>
                </c:pt>
              </c:numCache>
            </c:numRef>
          </c:val>
        </c:ser>
        <c:ser>
          <c:idx val="3"/>
          <c:order val="3"/>
          <c:tx>
            <c:strRef>
              <c:f>Sheet1!$E$383</c:f>
              <c:strCache>
                <c:ptCount val="1"/>
                <c:pt idx="0">
                  <c:v>Cheshire East</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11.1535587087549</c:v>
                </c:pt>
                <c:pt idx="1">
                  <c:v>11.193484641848318</c:v>
                </c:pt>
                <c:pt idx="2">
                  <c:v>11.771786813672804</c:v>
                </c:pt>
              </c:numCache>
            </c:numRef>
          </c:val>
        </c:ser>
        <c:marker val="1"/>
        <c:axId val="152590976"/>
        <c:axId val="152613248"/>
      </c:lineChart>
      <c:catAx>
        <c:axId val="152590976"/>
        <c:scaling>
          <c:orientation val="minMax"/>
        </c:scaling>
        <c:axPos val="b"/>
        <c:numFmt formatCode="General" sourceLinked="1"/>
        <c:tickLblPos val="nextTo"/>
        <c:crossAx val="152613248"/>
        <c:crosses val="autoZero"/>
        <c:auto val="1"/>
        <c:lblAlgn val="ctr"/>
        <c:lblOffset val="100"/>
      </c:catAx>
      <c:valAx>
        <c:axId val="15261324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2590976"/>
        <c:crosses val="autoZero"/>
        <c:crossBetween val="between"/>
      </c:valAx>
    </c:plotArea>
    <c:legend>
      <c:legendPos val="r"/>
      <c:txPr>
        <a:bodyPr/>
        <a:lstStyle/>
        <a:p>
          <a:pPr>
            <a:defRPr sz="800"/>
          </a:pPr>
          <a:endParaRPr lang="en-US"/>
        </a:p>
      </c:txP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primary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6.2533739811300313</c:v>
                </c:pt>
                <c:pt idx="1">
                  <c:v>6.114429844143908</c:v>
                </c:pt>
                <c:pt idx="2">
                  <c:v>6.0307663883143876</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9.5518741067584809</c:v>
                </c:pt>
                <c:pt idx="1">
                  <c:v>9.5603499031153003</c:v>
                </c:pt>
                <c:pt idx="2">
                  <c:v>9.5374824399669258</c:v>
                </c:pt>
              </c:numCache>
            </c:numRef>
          </c:val>
        </c:ser>
        <c:ser>
          <c:idx val="2"/>
          <c:order val="2"/>
          <c:tx>
            <c:strRef>
              <c:f>Sheet1!$AL$382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8.74275024646332</c:v>
                </c:pt>
                <c:pt idx="1">
                  <c:v>8.7482177701413359</c:v>
                </c:pt>
                <c:pt idx="2">
                  <c:v>8.7044130589512125</c:v>
                </c:pt>
              </c:numCache>
            </c:numRef>
          </c:val>
        </c:ser>
        <c:ser>
          <c:idx val="3"/>
          <c:order val="3"/>
          <c:tx>
            <c:strRef>
              <c:f>Sheet1!$AL$383</c:f>
              <c:strCache>
                <c:ptCount val="1"/>
                <c:pt idx="0">
                  <c:v>Cheshire East</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7.52705208837284</c:v>
                </c:pt>
                <c:pt idx="1">
                  <c:v>7.7119987444087004</c:v>
                </c:pt>
                <c:pt idx="2">
                  <c:v>7.5089068508200532</c:v>
                </c:pt>
              </c:numCache>
            </c:numRef>
          </c:val>
        </c:ser>
        <c:axId val="152775680"/>
        <c:axId val="152789760"/>
      </c:barChart>
      <c:catAx>
        <c:axId val="152775680"/>
        <c:scaling>
          <c:orientation val="minMax"/>
        </c:scaling>
        <c:axPos val="b"/>
        <c:numFmt formatCode="General" sourceLinked="1"/>
        <c:tickLblPos val="nextTo"/>
        <c:crossAx val="152789760"/>
        <c:crosses val="autoZero"/>
        <c:auto val="1"/>
        <c:lblAlgn val="ctr"/>
        <c:lblOffset val="100"/>
      </c:catAx>
      <c:valAx>
        <c:axId val="152789760"/>
        <c:scaling>
          <c:orientation val="minMax"/>
        </c:scaling>
        <c:axPos val="l"/>
        <c:majorGridlines/>
        <c:numFmt formatCode="General" sourceLinked="1"/>
        <c:tickLblPos val="nextTo"/>
        <c:txPr>
          <a:bodyPr/>
          <a:lstStyle/>
          <a:p>
            <a:pPr>
              <a:defRPr sz="800"/>
            </a:pPr>
            <a:endParaRPr lang="en-US"/>
          </a:p>
        </c:txPr>
        <c:crossAx val="152775680"/>
        <c:crosses val="autoZero"/>
        <c:crossBetween val="between"/>
      </c:valAx>
    </c:plotArea>
    <c:legend>
      <c:legendPos val="r"/>
      <c:txPr>
        <a:bodyPr/>
        <a:lstStyle/>
        <a:p>
          <a:pPr>
            <a:defRPr sz="800"/>
          </a:pPr>
          <a:endParaRPr lang="en-US"/>
        </a:p>
      </c:txP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primary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10.008099180543477</c:v>
                </c:pt>
                <c:pt idx="1">
                  <c:v>10.063438658512572</c:v>
                </c:pt>
                <c:pt idx="2">
                  <c:v>10.078087179914831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8.3367145952070487</c:v>
                </c:pt>
                <c:pt idx="1">
                  <c:v>8.3640773726955633</c:v>
                </c:pt>
                <c:pt idx="2">
                  <c:v>8.3874958558821859</c:v>
                </c:pt>
              </c:numCache>
            </c:numRef>
          </c:val>
        </c:ser>
        <c:ser>
          <c:idx val="2"/>
          <c:order val="2"/>
          <c:tx>
            <c:strRef>
              <c:f>Sheet1!$P$382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8.7600798871157988</c:v>
                </c:pt>
                <c:pt idx="1">
                  <c:v>8.7988507605854611</c:v>
                </c:pt>
                <c:pt idx="2">
                  <c:v>8.8226755598620965</c:v>
                </c:pt>
              </c:numCache>
            </c:numRef>
          </c:val>
        </c:ser>
        <c:ser>
          <c:idx val="3"/>
          <c:order val="3"/>
          <c:tx>
            <c:strRef>
              <c:f>Sheet1!$P$383</c:f>
              <c:strCache>
                <c:ptCount val="1"/>
                <c:pt idx="0">
                  <c:v>Cheshire East</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9.4822931417976992</c:v>
                </c:pt>
                <c:pt idx="1">
                  <c:v>9.4996747744008694</c:v>
                </c:pt>
                <c:pt idx="2">
                  <c:v>9.5164842517042736</c:v>
                </c:pt>
              </c:numCache>
            </c:numRef>
          </c:val>
        </c:ser>
        <c:marker val="1"/>
        <c:axId val="152808448"/>
        <c:axId val="152703744"/>
      </c:lineChart>
      <c:catAx>
        <c:axId val="152808448"/>
        <c:scaling>
          <c:orientation val="minMax"/>
        </c:scaling>
        <c:axPos val="b"/>
        <c:numFmt formatCode="General" sourceLinked="1"/>
        <c:tickLblPos val="nextTo"/>
        <c:crossAx val="152703744"/>
        <c:crosses val="autoZero"/>
        <c:auto val="1"/>
        <c:lblAlgn val="ctr"/>
        <c:lblOffset val="100"/>
      </c:catAx>
      <c:valAx>
        <c:axId val="15270374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2808448"/>
        <c:crosses val="autoZero"/>
        <c:crossBetween val="between"/>
      </c:valAx>
    </c:plotArea>
    <c:legend>
      <c:legendPos val="r"/>
      <c:txPr>
        <a:bodyPr/>
        <a:lstStyle/>
        <a:p>
          <a:pPr>
            <a:defRPr sz="800"/>
          </a:pPr>
          <a:endParaRPr lang="en-US"/>
        </a:p>
      </c:txP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primary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6.8055950052313507</c:v>
                </c:pt>
                <c:pt idx="1">
                  <c:v>6.8329236595398886</c:v>
                </c:pt>
                <c:pt idx="2">
                  <c:v>6.83227814638796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9.9009269048039528</c:v>
                </c:pt>
                <c:pt idx="1">
                  <c:v>9.9114910663259703</c:v>
                </c:pt>
                <c:pt idx="2">
                  <c:v>9.9141696305794049</c:v>
                </c:pt>
              </c:numCache>
            </c:numRef>
          </c:val>
        </c:ser>
        <c:ser>
          <c:idx val="2"/>
          <c:order val="2"/>
          <c:tx>
            <c:strRef>
              <c:f>Sheet1!$AW$382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9.2299513836374132</c:v>
                </c:pt>
                <c:pt idx="1">
                  <c:v>9.2364514119425181</c:v>
                </c:pt>
                <c:pt idx="2">
                  <c:v>9.2416858176738454</c:v>
                </c:pt>
              </c:numCache>
            </c:numRef>
          </c:val>
        </c:ser>
        <c:ser>
          <c:idx val="3"/>
          <c:order val="3"/>
          <c:tx>
            <c:strRef>
              <c:f>Sheet1!$AW$383</c:f>
              <c:strCache>
                <c:ptCount val="1"/>
                <c:pt idx="0">
                  <c:v>Cheshire East</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9.1087324625060493</c:v>
                </c:pt>
                <c:pt idx="1">
                  <c:v>9.1328180177352305</c:v>
                </c:pt>
                <c:pt idx="2">
                  <c:v>9.1877501373302994</c:v>
                </c:pt>
              </c:numCache>
            </c:numRef>
          </c:val>
        </c:ser>
        <c:axId val="152739200"/>
        <c:axId val="152749184"/>
      </c:barChart>
      <c:catAx>
        <c:axId val="152739200"/>
        <c:scaling>
          <c:orientation val="minMax"/>
        </c:scaling>
        <c:axPos val="b"/>
        <c:numFmt formatCode="General" sourceLinked="1"/>
        <c:tickLblPos val="nextTo"/>
        <c:crossAx val="152749184"/>
        <c:crosses val="autoZero"/>
        <c:auto val="1"/>
        <c:lblAlgn val="ctr"/>
        <c:lblOffset val="100"/>
      </c:catAx>
      <c:valAx>
        <c:axId val="152749184"/>
        <c:scaling>
          <c:orientation val="minMax"/>
        </c:scaling>
        <c:axPos val="l"/>
        <c:majorGridlines/>
        <c:numFmt formatCode="General" sourceLinked="1"/>
        <c:tickLblPos val="nextTo"/>
        <c:txPr>
          <a:bodyPr/>
          <a:lstStyle/>
          <a:p>
            <a:pPr>
              <a:defRPr sz="800"/>
            </a:pPr>
            <a:endParaRPr lang="en-US"/>
          </a:p>
        </c:txPr>
        <c:crossAx val="152739200"/>
        <c:crosses val="autoZero"/>
        <c:crossBetween val="between"/>
      </c:valAx>
    </c:plotArea>
    <c:legend>
      <c:legendPos val="r"/>
      <c:txPr>
        <a:bodyPr/>
        <a:lstStyle/>
        <a:p>
          <a:pPr>
            <a:defRPr sz="800"/>
          </a:pPr>
          <a:endParaRPr lang="en-US"/>
        </a:p>
      </c:txP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primary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7.9270823324085526</c:v>
                </c:pt>
                <c:pt idx="1">
                  <c:v>7.8938299178992377</c:v>
                </c:pt>
                <c:pt idx="2">
                  <c:v>7.9866976976056376</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7.5185180577991453</c:v>
                </c:pt>
                <c:pt idx="1">
                  <c:v>7.3697076705738436</c:v>
                </c:pt>
                <c:pt idx="2">
                  <c:v>7.5696366766324967</c:v>
                </c:pt>
              </c:numCache>
            </c:numRef>
          </c:val>
        </c:ser>
        <c:ser>
          <c:idx val="2"/>
          <c:order val="2"/>
          <c:tx>
            <c:strRef>
              <c:f>Sheet1!$AA$382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7.6396141517881428</c:v>
                </c:pt>
                <c:pt idx="1">
                  <c:v>7.5278430471071385</c:v>
                </c:pt>
                <c:pt idx="2">
                  <c:v>7.6932296315293804</c:v>
                </c:pt>
              </c:numCache>
            </c:numRef>
          </c:val>
        </c:ser>
        <c:ser>
          <c:idx val="3"/>
          <c:order val="3"/>
          <c:tx>
            <c:strRef>
              <c:f>Sheet1!$AA$383</c:f>
              <c:strCache>
                <c:ptCount val="1"/>
                <c:pt idx="0">
                  <c:v>Cheshire East</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7.9570173889945703</c:v>
                </c:pt>
                <c:pt idx="1">
                  <c:v>7.8846473552979299</c:v>
                </c:pt>
                <c:pt idx="2">
                  <c:v>8.0265483019184192</c:v>
                </c:pt>
              </c:numCache>
            </c:numRef>
          </c:val>
        </c:ser>
        <c:marker val="1"/>
        <c:axId val="152837504"/>
        <c:axId val="152851584"/>
      </c:lineChart>
      <c:catAx>
        <c:axId val="152837504"/>
        <c:scaling>
          <c:orientation val="minMax"/>
        </c:scaling>
        <c:axPos val="b"/>
        <c:numFmt formatCode="General" sourceLinked="1"/>
        <c:tickLblPos val="nextTo"/>
        <c:crossAx val="152851584"/>
        <c:crosses val="autoZero"/>
        <c:auto val="1"/>
        <c:lblAlgn val="ctr"/>
        <c:lblOffset val="100"/>
      </c:catAx>
      <c:valAx>
        <c:axId val="152851584"/>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2837504"/>
        <c:crosses val="autoZero"/>
        <c:crossBetween val="between"/>
      </c:valAx>
    </c:plotArea>
    <c:legend>
      <c:legendPos val="r"/>
      <c:txPr>
        <a:bodyPr/>
        <a:lstStyle/>
        <a:p>
          <a:pPr>
            <a:defRPr sz="800"/>
          </a:pPr>
          <a:endParaRPr lang="en-US"/>
        </a:p>
      </c:txP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primary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9.9386241041571619</c:v>
                </c:pt>
                <c:pt idx="1">
                  <c:v>9.9657280764686575</c:v>
                </c:pt>
                <c:pt idx="2">
                  <c:v>9.9676223688536147</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9.9887680665962009</c:v>
                </c:pt>
                <c:pt idx="1">
                  <c:v>9.9961426622495608</c:v>
                </c:pt>
                <c:pt idx="2">
                  <c:v>9.9997324464403246</c:v>
                </c:pt>
              </c:numCache>
            </c:numRef>
          </c:val>
        </c:ser>
        <c:ser>
          <c:idx val="2"/>
          <c:order val="2"/>
          <c:tx>
            <c:strRef>
              <c:f>Sheet1!$BH$382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9.9888478574967206</c:v>
                </c:pt>
                <c:pt idx="1">
                  <c:v>9.991190988230203</c:v>
                </c:pt>
                <c:pt idx="2">
                  <c:v>9.9926925634948027</c:v>
                </c:pt>
              </c:numCache>
            </c:numRef>
          </c:val>
        </c:ser>
        <c:ser>
          <c:idx val="3"/>
          <c:order val="3"/>
          <c:tx>
            <c:strRef>
              <c:f>Sheet1!$BH$383</c:f>
              <c:strCache>
                <c:ptCount val="1"/>
                <c:pt idx="0">
                  <c:v>Cheshire East</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10</c:v>
                </c:pt>
                <c:pt idx="1">
                  <c:v>10</c:v>
                </c:pt>
                <c:pt idx="2">
                  <c:v>10</c:v>
                </c:pt>
              </c:numCache>
            </c:numRef>
          </c:val>
        </c:ser>
        <c:axId val="152887296"/>
        <c:axId val="152888832"/>
      </c:barChart>
      <c:catAx>
        <c:axId val="152887296"/>
        <c:scaling>
          <c:orientation val="minMax"/>
        </c:scaling>
        <c:axPos val="b"/>
        <c:numFmt formatCode="General" sourceLinked="1"/>
        <c:tickLblPos val="nextTo"/>
        <c:crossAx val="152888832"/>
        <c:crosses val="autoZero"/>
        <c:auto val="1"/>
        <c:lblAlgn val="ctr"/>
        <c:lblOffset val="100"/>
      </c:catAx>
      <c:valAx>
        <c:axId val="152888832"/>
        <c:scaling>
          <c:orientation val="minMax"/>
        </c:scaling>
        <c:axPos val="l"/>
        <c:majorGridlines/>
        <c:numFmt formatCode="General" sourceLinked="1"/>
        <c:tickLblPos val="nextTo"/>
        <c:txPr>
          <a:bodyPr/>
          <a:lstStyle/>
          <a:p>
            <a:pPr>
              <a:defRPr sz="800"/>
            </a:pPr>
            <a:endParaRPr lang="en-US"/>
          </a:p>
        </c:txPr>
        <c:crossAx val="152887296"/>
        <c:crosses val="autoZero"/>
        <c:crossBetween val="between"/>
      </c:valAx>
    </c:plotArea>
    <c:legend>
      <c:legendPos val="r"/>
      <c:txPr>
        <a:bodyPr/>
        <a:lstStyle/>
        <a:p>
          <a:pPr>
            <a:defRPr sz="800"/>
          </a:pPr>
          <a:endParaRPr lang="en-US"/>
        </a:p>
      </c:txP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secondary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24.174836634054341</c:v>
                </c:pt>
                <c:pt idx="1">
                  <c:v>25.312282639861589</c:v>
                </c:pt>
                <c:pt idx="2">
                  <c:v>25.730778090743829</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15.538876914886078</c:v>
                </c:pt>
                <c:pt idx="1">
                  <c:v>15.639843742109278</c:v>
                </c:pt>
                <c:pt idx="2">
                  <c:v>16.094318555891093</c:v>
                </c:pt>
              </c:numCache>
            </c:numRef>
          </c:val>
        </c:ser>
        <c:ser>
          <c:idx val="2"/>
          <c:order val="2"/>
          <c:tx>
            <c:strRef>
              <c:f>Sheet1!$E$382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17.650099797638731</c:v>
                </c:pt>
                <c:pt idx="1">
                  <c:v>17.912001763358031</c:v>
                </c:pt>
                <c:pt idx="2">
                  <c:v>18.490763168018777</c:v>
                </c:pt>
              </c:numCache>
            </c:numRef>
          </c:val>
        </c:ser>
        <c:ser>
          <c:idx val="3"/>
          <c:order val="3"/>
          <c:tx>
            <c:strRef>
              <c:f>Sheet1!$E$383</c:f>
              <c:strCache>
                <c:ptCount val="1"/>
                <c:pt idx="0">
                  <c:v>Cheshire East</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20.3363779421556</c:v>
                </c:pt>
                <c:pt idx="1">
                  <c:v>20.710285288193202</c:v>
                </c:pt>
                <c:pt idx="2">
                  <c:v>20.964205581607189</c:v>
                </c:pt>
              </c:numCache>
            </c:numRef>
          </c:val>
        </c:ser>
        <c:marker val="1"/>
        <c:axId val="152944640"/>
        <c:axId val="152946176"/>
      </c:lineChart>
      <c:catAx>
        <c:axId val="152944640"/>
        <c:scaling>
          <c:orientation val="minMax"/>
        </c:scaling>
        <c:axPos val="b"/>
        <c:numFmt formatCode="General" sourceLinked="1"/>
        <c:tickLblPos val="nextTo"/>
        <c:crossAx val="152946176"/>
        <c:crosses val="autoZero"/>
        <c:auto val="1"/>
        <c:lblAlgn val="ctr"/>
        <c:lblOffset val="100"/>
      </c:catAx>
      <c:valAx>
        <c:axId val="15294617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2944640"/>
        <c:crosses val="autoZero"/>
        <c:crossBetween val="between"/>
      </c:valAx>
    </c:plotArea>
    <c:legend>
      <c:legendPos val="r"/>
      <c:txPr>
        <a:bodyPr/>
        <a:lstStyle/>
        <a:p>
          <a:pPr>
            <a:defRPr sz="800"/>
          </a:pPr>
          <a:endParaRPr lang="en-US"/>
        </a:p>
      </c:txP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secondary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1.6006684327207201</c:v>
                </c:pt>
                <c:pt idx="1">
                  <c:v>1.5368395794742613</c:v>
                </c:pt>
                <c:pt idx="2">
                  <c:v>1.4707725933687963</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4.8357921075201391</c:v>
                </c:pt>
                <c:pt idx="1">
                  <c:v>4.8109883224800374</c:v>
                </c:pt>
                <c:pt idx="2">
                  <c:v>4.7296233088103365</c:v>
                </c:pt>
              </c:numCache>
            </c:numRef>
          </c:val>
        </c:ser>
        <c:ser>
          <c:idx val="2"/>
          <c:order val="2"/>
          <c:tx>
            <c:strRef>
              <c:f>Sheet1!$AL$382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3.5788104418642943</c:v>
                </c:pt>
                <c:pt idx="1">
                  <c:v>3.5057293921378911</c:v>
                </c:pt>
                <c:pt idx="2">
                  <c:v>3.4284947813138644</c:v>
                </c:pt>
              </c:numCache>
            </c:numRef>
          </c:val>
        </c:ser>
        <c:ser>
          <c:idx val="3"/>
          <c:order val="3"/>
          <c:tx>
            <c:strRef>
              <c:f>Sheet1!$AL$383</c:f>
              <c:strCache>
                <c:ptCount val="1"/>
                <c:pt idx="0">
                  <c:v>Cheshire East</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2.0902147283470232</c:v>
                </c:pt>
                <c:pt idx="1">
                  <c:v>2.0766880236569669</c:v>
                </c:pt>
                <c:pt idx="2">
                  <c:v>2.1248398225727012</c:v>
                </c:pt>
              </c:numCache>
            </c:numRef>
          </c:val>
        </c:ser>
        <c:axId val="153063424"/>
        <c:axId val="153064960"/>
      </c:barChart>
      <c:catAx>
        <c:axId val="153063424"/>
        <c:scaling>
          <c:orientation val="minMax"/>
        </c:scaling>
        <c:axPos val="b"/>
        <c:numFmt formatCode="General" sourceLinked="1"/>
        <c:tickLblPos val="nextTo"/>
        <c:crossAx val="153064960"/>
        <c:crosses val="autoZero"/>
        <c:auto val="1"/>
        <c:lblAlgn val="ctr"/>
        <c:lblOffset val="100"/>
      </c:catAx>
      <c:valAx>
        <c:axId val="153064960"/>
        <c:scaling>
          <c:orientation val="minMax"/>
        </c:scaling>
        <c:axPos val="l"/>
        <c:majorGridlines/>
        <c:numFmt formatCode="General" sourceLinked="1"/>
        <c:tickLblPos val="nextTo"/>
        <c:txPr>
          <a:bodyPr/>
          <a:lstStyle/>
          <a:p>
            <a:pPr>
              <a:defRPr sz="800"/>
            </a:pPr>
            <a:endParaRPr lang="en-US"/>
          </a:p>
        </c:txPr>
        <c:crossAx val="153063424"/>
        <c:crosses val="autoZero"/>
        <c:crossBetween val="between"/>
      </c:valAx>
    </c:plotArea>
    <c:legend>
      <c:legendPos val="r"/>
      <c:txPr>
        <a:bodyPr/>
        <a:lstStyle/>
        <a:p>
          <a:pPr>
            <a:defRPr sz="800"/>
          </a:pPr>
          <a:endParaRPr lang="en-US"/>
        </a:p>
      </c:txP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GB"/>
  <c:chart>
    <c:title>
      <c:tx>
        <c:strRef>
          <c:f>Sheet1!$P$379</c:f>
          <c:strCache>
            <c:ptCount val="1"/>
            <c:pt idx="0">
              <c:v>Travel time to nearest secondary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20.137800775100601</c:v>
                </c:pt>
                <c:pt idx="1">
                  <c:v>20.250590842423712</c:v>
                </c:pt>
                <c:pt idx="2">
                  <c:v>20.306749429356401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12.028438735823578</c:v>
                </c:pt>
                <c:pt idx="1">
                  <c:v>12.060211740613749</c:v>
                </c:pt>
                <c:pt idx="2">
                  <c:v>12.109576369917825</c:v>
                </c:pt>
              </c:numCache>
            </c:numRef>
          </c:val>
        </c:ser>
        <c:ser>
          <c:idx val="2"/>
          <c:order val="2"/>
          <c:tx>
            <c:strRef>
              <c:f>Sheet1!$P$382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13.786242031588626</c:v>
                </c:pt>
                <c:pt idx="1">
                  <c:v>13.848958044329118</c:v>
                </c:pt>
                <c:pt idx="2">
                  <c:v>13.922025749355845</c:v>
                </c:pt>
              </c:numCache>
            </c:numRef>
          </c:val>
        </c:ser>
        <c:ser>
          <c:idx val="3"/>
          <c:order val="3"/>
          <c:tx>
            <c:strRef>
              <c:f>Sheet1!$P$383</c:f>
              <c:strCache>
                <c:ptCount val="1"/>
                <c:pt idx="0">
                  <c:v>Cheshire East</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14.61846600680961</c:v>
                </c:pt>
                <c:pt idx="1">
                  <c:v>14.621113795712178</c:v>
                </c:pt>
                <c:pt idx="2">
                  <c:v>14.6261832091524</c:v>
                </c:pt>
              </c:numCache>
            </c:numRef>
          </c:val>
        </c:ser>
        <c:marker val="1"/>
        <c:axId val="152965120"/>
        <c:axId val="152966656"/>
      </c:lineChart>
      <c:catAx>
        <c:axId val="152965120"/>
        <c:scaling>
          <c:orientation val="minMax"/>
        </c:scaling>
        <c:axPos val="b"/>
        <c:numFmt formatCode="General" sourceLinked="1"/>
        <c:tickLblPos val="nextTo"/>
        <c:crossAx val="152966656"/>
        <c:crosses val="autoZero"/>
        <c:auto val="1"/>
        <c:lblAlgn val="ctr"/>
        <c:lblOffset val="100"/>
      </c:catAx>
      <c:valAx>
        <c:axId val="15296665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2965120"/>
        <c:crosses val="autoZero"/>
        <c:crossBetween val="between"/>
      </c:valAx>
    </c:plotArea>
    <c:legend>
      <c:legendPos val="r"/>
      <c:txPr>
        <a:bodyPr/>
        <a:lstStyle/>
        <a:p>
          <a:pPr>
            <a:defRPr sz="800"/>
          </a:pPr>
          <a:endParaRPr lang="en-US"/>
        </a:p>
      </c:txPr>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secondary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1.8299169525515044</c:v>
                </c:pt>
                <c:pt idx="1">
                  <c:v>1.8149113763046358</c:v>
                </c:pt>
                <c:pt idx="2">
                  <c:v>1.7733355792665322</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7.3636706806335095</c:v>
                </c:pt>
                <c:pt idx="1">
                  <c:v>7.390211639233633</c:v>
                </c:pt>
                <c:pt idx="2">
                  <c:v>7.38276925877644</c:v>
                </c:pt>
              </c:numCache>
            </c:numRef>
          </c:val>
        </c:ser>
        <c:ser>
          <c:idx val="2"/>
          <c:order val="2"/>
          <c:tx>
            <c:strRef>
              <c:f>Sheet1!$AW$382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5.9816196336487604</c:v>
                </c:pt>
                <c:pt idx="1">
                  <c:v>6.0047308728827806</c:v>
                </c:pt>
                <c:pt idx="2">
                  <c:v>6.0044984710272296</c:v>
                </c:pt>
              </c:numCache>
            </c:numRef>
          </c:val>
        </c:ser>
        <c:ser>
          <c:idx val="3"/>
          <c:order val="3"/>
          <c:tx>
            <c:strRef>
              <c:f>Sheet1!$AW$383</c:f>
              <c:strCache>
                <c:ptCount val="1"/>
                <c:pt idx="0">
                  <c:v>Cheshire East</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3.2221741845606999</c:v>
                </c:pt>
                <c:pt idx="1">
                  <c:v>3.2496796451453926</c:v>
                </c:pt>
                <c:pt idx="2">
                  <c:v>3.4722523410547059</c:v>
                </c:pt>
              </c:numCache>
            </c:numRef>
          </c:val>
        </c:ser>
        <c:axId val="153002368"/>
        <c:axId val="153003904"/>
      </c:barChart>
      <c:catAx>
        <c:axId val="153002368"/>
        <c:scaling>
          <c:orientation val="minMax"/>
        </c:scaling>
        <c:axPos val="b"/>
        <c:numFmt formatCode="General" sourceLinked="1"/>
        <c:tickLblPos val="nextTo"/>
        <c:crossAx val="153003904"/>
        <c:crosses val="autoZero"/>
        <c:auto val="1"/>
        <c:lblAlgn val="ctr"/>
        <c:lblOffset val="100"/>
      </c:catAx>
      <c:valAx>
        <c:axId val="153003904"/>
        <c:scaling>
          <c:orientation val="minMax"/>
        </c:scaling>
        <c:axPos val="l"/>
        <c:majorGridlines/>
        <c:numFmt formatCode="General" sourceLinked="1"/>
        <c:tickLblPos val="nextTo"/>
        <c:txPr>
          <a:bodyPr/>
          <a:lstStyle/>
          <a:p>
            <a:pPr>
              <a:defRPr sz="800"/>
            </a:pPr>
            <a:endParaRPr lang="en-US"/>
          </a:p>
        </c:txPr>
        <c:crossAx val="153002368"/>
        <c:crosses val="autoZero"/>
        <c:crossBetween val="between"/>
      </c:valAx>
    </c:plotArea>
    <c:legend>
      <c:legendPos val="r"/>
      <c:txPr>
        <a:bodyPr/>
        <a:lstStyle/>
        <a:p>
          <a:pPr>
            <a:defRPr sz="800"/>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employment centre with 100 to 499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Sheet1!$P$380</c:f>
              <c:strCache>
                <c:ptCount val="1"/>
                <c:pt idx="0">
                  <c:v>Predominantly Rural average</c:v>
                </c:pt>
              </c:strCache>
            </c:strRef>
          </c:tx>
          <c:spPr>
            <a:ln w="25400">
              <a:solidFill>
                <a:schemeClr val="bg1">
                  <a:lumMod val="6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13.125600654468762</c:v>
                </c:pt>
                <c:pt idx="1">
                  <c:v>13.155766003193007</c:v>
                </c:pt>
                <c:pt idx="2">
                  <c:v>13.276615831299004</c:v>
                </c:pt>
              </c:numCache>
            </c:numRef>
          </c:val>
        </c:ser>
        <c:ser>
          <c:idx val="2"/>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8.0901693775272214</c:v>
                </c:pt>
                <c:pt idx="1">
                  <c:v>8.0927940274966588</c:v>
                </c:pt>
                <c:pt idx="2">
                  <c:v>8.1750989266772667</c:v>
                </c:pt>
              </c:numCache>
            </c:numRef>
          </c:val>
        </c:ser>
        <c:ser>
          <c:idx val="3"/>
          <c:order val="2"/>
          <c:tx>
            <c:strRef>
              <c:f>Sheet1!$P$382</c:f>
              <c:strCache>
                <c:ptCount val="1"/>
                <c:pt idx="0">
                  <c:v>Unitary Authority average</c:v>
                </c:pt>
              </c:strCache>
            </c:strRef>
          </c:tx>
          <c:spPr>
            <a:ln w="25400">
              <a:solidFill>
                <a:schemeClr val="accent1">
                  <a:lumMod val="40000"/>
                  <a:lumOff val="6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9.2310918825645256</c:v>
                </c:pt>
                <c:pt idx="1">
                  <c:v>9.1993162844436807</c:v>
                </c:pt>
                <c:pt idx="2">
                  <c:v>9.2932083296065606</c:v>
                </c:pt>
              </c:numCache>
            </c:numRef>
          </c:val>
        </c:ser>
        <c:ser>
          <c:idx val="4"/>
          <c:order val="3"/>
          <c:tx>
            <c:strRef>
              <c:f>Sheet1!$P$383</c:f>
              <c:strCache>
                <c:ptCount val="1"/>
                <c:pt idx="0">
                  <c:v>Cheshire East</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10.132405811653706</c:v>
                </c:pt>
                <c:pt idx="1">
                  <c:v>10.245565576958199</c:v>
                </c:pt>
                <c:pt idx="2">
                  <c:v>10.140776446201999</c:v>
                </c:pt>
              </c:numCache>
            </c:numRef>
          </c:val>
        </c:ser>
        <c:marker val="1"/>
        <c:axId val="151769088"/>
        <c:axId val="151770624"/>
      </c:lineChart>
      <c:catAx>
        <c:axId val="151769088"/>
        <c:scaling>
          <c:orientation val="minMax"/>
        </c:scaling>
        <c:axPos val="b"/>
        <c:numFmt formatCode="General" sourceLinked="1"/>
        <c:tickLblPos val="nextTo"/>
        <c:crossAx val="151770624"/>
        <c:crosses val="autoZero"/>
        <c:auto val="1"/>
        <c:lblAlgn val="ctr"/>
        <c:lblOffset val="100"/>
      </c:catAx>
      <c:valAx>
        <c:axId val="15177062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1769088"/>
        <c:crosses val="autoZero"/>
        <c:crossBetween val="between"/>
      </c:valAx>
    </c:plotArea>
    <c:legend>
      <c:legendPos val="r"/>
      <c:txPr>
        <a:bodyPr/>
        <a:lstStyle/>
        <a:p>
          <a:pPr>
            <a:defRPr sz="800"/>
          </a:pPr>
          <a:endParaRPr lang="en-US"/>
        </a:p>
      </c:txPr>
    </c:legend>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secondary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11.920815422693055</c:v>
                </c:pt>
                <c:pt idx="1">
                  <c:v>11.909715823450254</c:v>
                </c:pt>
                <c:pt idx="2">
                  <c:v>12.138327648761368</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9.6983422507829395</c:v>
                </c:pt>
                <c:pt idx="1">
                  <c:v>9.4552450451665848</c:v>
                </c:pt>
                <c:pt idx="2">
                  <c:v>9.8574808717876063</c:v>
                </c:pt>
              </c:numCache>
            </c:numRef>
          </c:val>
        </c:ser>
        <c:ser>
          <c:idx val="2"/>
          <c:order val="2"/>
          <c:tx>
            <c:strRef>
              <c:f>Sheet1!$AA$382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10.142756446045494</c:v>
                </c:pt>
                <c:pt idx="1">
                  <c:v>9.9651981323910501</c:v>
                </c:pt>
                <c:pt idx="2">
                  <c:v>10.351956869263356</c:v>
                </c:pt>
              </c:numCache>
            </c:numRef>
          </c:val>
        </c:ser>
        <c:ser>
          <c:idx val="3"/>
          <c:order val="3"/>
          <c:tx>
            <c:strRef>
              <c:f>Sheet1!$AA$383</c:f>
              <c:strCache>
                <c:ptCount val="1"/>
                <c:pt idx="0">
                  <c:v>Cheshire East</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10.483147619980318</c:v>
                </c:pt>
                <c:pt idx="1">
                  <c:v>10.370537891057923</c:v>
                </c:pt>
                <c:pt idx="2">
                  <c:v>10.539996256543619</c:v>
                </c:pt>
              </c:numCache>
            </c:numRef>
          </c:val>
        </c:ser>
        <c:marker val="1"/>
        <c:axId val="153178496"/>
        <c:axId val="153180032"/>
      </c:lineChart>
      <c:catAx>
        <c:axId val="153178496"/>
        <c:scaling>
          <c:orientation val="minMax"/>
        </c:scaling>
        <c:axPos val="b"/>
        <c:numFmt formatCode="General" sourceLinked="1"/>
        <c:tickLblPos val="nextTo"/>
        <c:crossAx val="153180032"/>
        <c:crosses val="autoZero"/>
        <c:auto val="1"/>
        <c:lblAlgn val="ctr"/>
        <c:lblOffset val="100"/>
      </c:catAx>
      <c:valAx>
        <c:axId val="153180032"/>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178496"/>
        <c:crosses val="autoZero"/>
        <c:crossBetween val="between"/>
      </c:valAx>
    </c:plotArea>
    <c:legend>
      <c:legendPos val="r"/>
      <c:txPr>
        <a:bodyPr/>
        <a:lstStyle/>
        <a:p>
          <a:pPr>
            <a:defRPr sz="800"/>
          </a:pPr>
          <a:endParaRPr lang="en-US"/>
        </a:p>
      </c:txPr>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secondary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8.0207930675852506</c:v>
                </c:pt>
                <c:pt idx="1">
                  <c:v>7.7962739637851524</c:v>
                </c:pt>
                <c:pt idx="2">
                  <c:v>7.7493748545010979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9.9242574921271487</c:v>
                </c:pt>
                <c:pt idx="1">
                  <c:v>9.9580378789766524</c:v>
                </c:pt>
                <c:pt idx="2">
                  <c:v>9.933875675110631</c:v>
                </c:pt>
              </c:numCache>
            </c:numRef>
          </c:val>
        </c:ser>
        <c:ser>
          <c:idx val="2"/>
          <c:order val="2"/>
          <c:tx>
            <c:strRef>
              <c:f>Sheet1!$BH$382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9.5516369246113406</c:v>
                </c:pt>
                <c:pt idx="1">
                  <c:v>9.5547342017711507</c:v>
                </c:pt>
                <c:pt idx="2">
                  <c:v>9.4974505213619267</c:v>
                </c:pt>
              </c:numCache>
            </c:numRef>
          </c:val>
        </c:ser>
        <c:ser>
          <c:idx val="3"/>
          <c:order val="3"/>
          <c:tx>
            <c:strRef>
              <c:f>Sheet1!$BH$383</c:f>
              <c:strCache>
                <c:ptCount val="1"/>
                <c:pt idx="0">
                  <c:v>Cheshire East</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9.8069366383244692</c:v>
                </c:pt>
                <c:pt idx="1">
                  <c:v>9.95919172005914</c:v>
                </c:pt>
                <c:pt idx="2">
                  <c:v>9.8648102513553528</c:v>
                </c:pt>
              </c:numCache>
            </c:numRef>
          </c:val>
        </c:ser>
        <c:axId val="153101056"/>
        <c:axId val="153102592"/>
      </c:barChart>
      <c:catAx>
        <c:axId val="153101056"/>
        <c:scaling>
          <c:orientation val="minMax"/>
        </c:scaling>
        <c:axPos val="b"/>
        <c:numFmt formatCode="General" sourceLinked="1"/>
        <c:tickLblPos val="nextTo"/>
        <c:crossAx val="153102592"/>
        <c:crosses val="autoZero"/>
        <c:auto val="1"/>
        <c:lblAlgn val="ctr"/>
        <c:lblOffset val="100"/>
      </c:catAx>
      <c:valAx>
        <c:axId val="153102592"/>
        <c:scaling>
          <c:orientation val="minMax"/>
        </c:scaling>
        <c:axPos val="l"/>
        <c:majorGridlines/>
        <c:numFmt formatCode="General" sourceLinked="1"/>
        <c:tickLblPos val="nextTo"/>
        <c:txPr>
          <a:bodyPr/>
          <a:lstStyle/>
          <a:p>
            <a:pPr>
              <a:defRPr sz="800"/>
            </a:pPr>
            <a:endParaRPr lang="en-US"/>
          </a:p>
        </c:txPr>
        <c:crossAx val="153101056"/>
        <c:crosses val="autoZero"/>
        <c:crossBetween val="between"/>
      </c:valAx>
    </c:plotArea>
    <c:legend>
      <c:legendPos val="r"/>
      <c:txPr>
        <a:bodyPr/>
        <a:lstStyle/>
        <a:p>
          <a:pPr>
            <a:defRPr sz="900"/>
          </a:pPr>
          <a:endParaRPr lang="en-US"/>
        </a:p>
      </c:txPr>
    </c:legend>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further education college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28.48513061160331</c:v>
                </c:pt>
                <c:pt idx="1">
                  <c:v>29.605235190971101</c:v>
                </c:pt>
                <c:pt idx="2">
                  <c:v>30.300154923731206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17.563927110159259</c:v>
                </c:pt>
                <c:pt idx="1">
                  <c:v>17.66418506351831</c:v>
                </c:pt>
                <c:pt idx="2">
                  <c:v>18.660684028767147</c:v>
                </c:pt>
              </c:numCache>
            </c:numRef>
          </c:val>
        </c:ser>
        <c:ser>
          <c:idx val="2"/>
          <c:order val="2"/>
          <c:tx>
            <c:strRef>
              <c:f>Sheet1!$E$382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20.229306906772489</c:v>
                </c:pt>
                <c:pt idx="1">
                  <c:v>20.410777020977584</c:v>
                </c:pt>
                <c:pt idx="2">
                  <c:v>21.426829812779022</c:v>
                </c:pt>
              </c:numCache>
            </c:numRef>
          </c:val>
        </c:ser>
        <c:ser>
          <c:idx val="3"/>
          <c:order val="3"/>
          <c:tx>
            <c:strRef>
              <c:f>Sheet1!$E$383</c:f>
              <c:strCache>
                <c:ptCount val="1"/>
                <c:pt idx="0">
                  <c:v>Cheshire East</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22.526123081095889</c:v>
                </c:pt>
                <c:pt idx="1">
                  <c:v>22.990292521600189</c:v>
                </c:pt>
                <c:pt idx="2">
                  <c:v>22.771654626785299</c:v>
                </c:pt>
              </c:numCache>
            </c:numRef>
          </c:val>
        </c:ser>
        <c:marker val="1"/>
        <c:axId val="153146112"/>
        <c:axId val="153147648"/>
      </c:lineChart>
      <c:catAx>
        <c:axId val="153146112"/>
        <c:scaling>
          <c:orientation val="minMax"/>
        </c:scaling>
        <c:axPos val="b"/>
        <c:numFmt formatCode="General" sourceLinked="1"/>
        <c:tickLblPos val="nextTo"/>
        <c:crossAx val="153147648"/>
        <c:crosses val="autoZero"/>
        <c:auto val="1"/>
        <c:lblAlgn val="ctr"/>
        <c:lblOffset val="100"/>
      </c:catAx>
      <c:valAx>
        <c:axId val="15314764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146112"/>
        <c:crosses val="autoZero"/>
        <c:crossBetween val="between"/>
      </c:valAx>
    </c:plotArea>
    <c:legend>
      <c:legendPos val="r"/>
      <c:txPr>
        <a:bodyPr/>
        <a:lstStyle/>
        <a:p>
          <a:pPr>
            <a:defRPr sz="800"/>
          </a:pPr>
          <a:endParaRPr lang="en-US"/>
        </a:p>
      </c:txPr>
    </c:legend>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further education colleges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1.2483917555971511</c:v>
                </c:pt>
                <c:pt idx="1">
                  <c:v>1.2112200818703358</c:v>
                </c:pt>
                <c:pt idx="2">
                  <c:v>1.1339868061820082</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4.2870666597036724</c:v>
                </c:pt>
                <c:pt idx="1">
                  <c:v>4.2331331942543882</c:v>
                </c:pt>
                <c:pt idx="2">
                  <c:v>3.878041084329265</c:v>
                </c:pt>
              </c:numCache>
            </c:numRef>
          </c:val>
        </c:ser>
        <c:ser>
          <c:idx val="2"/>
          <c:order val="2"/>
          <c:tx>
            <c:strRef>
              <c:f>Sheet1!$AL$382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2.9910322015084394</c:v>
                </c:pt>
                <c:pt idx="1">
                  <c:v>2.8854517810755871</c:v>
                </c:pt>
                <c:pt idx="2">
                  <c:v>2.6371177238046188</c:v>
                </c:pt>
              </c:numCache>
            </c:numRef>
          </c:val>
        </c:ser>
        <c:ser>
          <c:idx val="3"/>
          <c:order val="3"/>
          <c:tx>
            <c:strRef>
              <c:f>Sheet1!$AL$383</c:f>
              <c:strCache>
                <c:ptCount val="1"/>
                <c:pt idx="0">
                  <c:v>Cheshire East</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1.5429346543996187</c:v>
                </c:pt>
                <c:pt idx="1">
                  <c:v>1.5537827178200099</c:v>
                </c:pt>
                <c:pt idx="2">
                  <c:v>1.58641089996414</c:v>
                </c:pt>
              </c:numCache>
            </c:numRef>
          </c:val>
        </c:ser>
        <c:axId val="153257088"/>
        <c:axId val="153258624"/>
      </c:barChart>
      <c:catAx>
        <c:axId val="153257088"/>
        <c:scaling>
          <c:orientation val="minMax"/>
        </c:scaling>
        <c:axPos val="b"/>
        <c:numFmt formatCode="General" sourceLinked="1"/>
        <c:tickLblPos val="nextTo"/>
        <c:crossAx val="153258624"/>
        <c:crosses val="autoZero"/>
        <c:auto val="1"/>
        <c:lblAlgn val="ctr"/>
        <c:lblOffset val="100"/>
      </c:catAx>
      <c:valAx>
        <c:axId val="153258624"/>
        <c:scaling>
          <c:orientation val="minMax"/>
        </c:scaling>
        <c:axPos val="l"/>
        <c:majorGridlines/>
        <c:numFmt formatCode="General" sourceLinked="1"/>
        <c:tickLblPos val="nextTo"/>
        <c:txPr>
          <a:bodyPr/>
          <a:lstStyle/>
          <a:p>
            <a:pPr>
              <a:defRPr sz="800"/>
            </a:pPr>
            <a:endParaRPr lang="en-US"/>
          </a:p>
        </c:txPr>
        <c:crossAx val="153257088"/>
        <c:crosses val="autoZero"/>
        <c:crossBetween val="between"/>
      </c:valAx>
    </c:plotArea>
    <c:legend>
      <c:legendPos val="r"/>
      <c:txPr>
        <a:bodyPr/>
        <a:lstStyle/>
        <a:p>
          <a:pPr>
            <a:defRPr sz="800"/>
          </a:pPr>
          <a:endParaRPr lang="en-US"/>
        </a:p>
      </c:txPr>
    </c:legend>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further education college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25.856816482670524</c:v>
                </c:pt>
                <c:pt idx="1">
                  <c:v>25.682203436066853</c:v>
                </c:pt>
                <c:pt idx="2">
                  <c:v>26.118913988140598</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13.577634445950547</c:v>
                </c:pt>
                <c:pt idx="1">
                  <c:v>13.610846915481552</c:v>
                </c:pt>
                <c:pt idx="2">
                  <c:v>14.106319831583667</c:v>
                </c:pt>
              </c:numCache>
            </c:numRef>
          </c:val>
        </c:ser>
        <c:ser>
          <c:idx val="2"/>
          <c:order val="2"/>
          <c:tx>
            <c:strRef>
              <c:f>Sheet1!$P$382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16.370437556754485</c:v>
                </c:pt>
                <c:pt idx="1">
                  <c:v>16.111891817075506</c:v>
                </c:pt>
                <c:pt idx="2">
                  <c:v>16.71579768797783</c:v>
                </c:pt>
              </c:numCache>
            </c:numRef>
          </c:val>
        </c:ser>
        <c:ser>
          <c:idx val="3"/>
          <c:order val="3"/>
          <c:tx>
            <c:strRef>
              <c:f>Sheet1!$P$383</c:f>
              <c:strCache>
                <c:ptCount val="1"/>
                <c:pt idx="0">
                  <c:v>Cheshire East</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16.098938281277189</c:v>
                </c:pt>
                <c:pt idx="1">
                  <c:v>16.111340119128801</c:v>
                </c:pt>
                <c:pt idx="2">
                  <c:v>15.979040102109215</c:v>
                </c:pt>
              </c:numCache>
            </c:numRef>
          </c:val>
        </c:ser>
        <c:marker val="1"/>
        <c:axId val="153371776"/>
        <c:axId val="153373312"/>
      </c:lineChart>
      <c:catAx>
        <c:axId val="153371776"/>
        <c:scaling>
          <c:orientation val="minMax"/>
        </c:scaling>
        <c:axPos val="b"/>
        <c:numFmt formatCode="General" sourceLinked="1"/>
        <c:tickLblPos val="nextTo"/>
        <c:crossAx val="153373312"/>
        <c:crosses val="autoZero"/>
        <c:auto val="1"/>
        <c:lblAlgn val="ctr"/>
        <c:lblOffset val="100"/>
      </c:catAx>
      <c:valAx>
        <c:axId val="15337331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371776"/>
        <c:crosses val="autoZero"/>
        <c:crossBetween val="between"/>
      </c:valAx>
    </c:plotArea>
    <c:legend>
      <c:legendPos val="r"/>
      <c:txPr>
        <a:bodyPr/>
        <a:lstStyle/>
        <a:p>
          <a:pPr>
            <a:defRPr sz="800"/>
          </a:pPr>
          <a:endParaRPr lang="en-US"/>
        </a:p>
      </c:txPr>
    </c:legend>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further education colleges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1.399732073880916</c:v>
                </c:pt>
                <c:pt idx="1">
                  <c:v>1.382528951336494</c:v>
                </c:pt>
                <c:pt idx="2">
                  <c:v>1.3046671896034261</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6.324796329806424</c:v>
                </c:pt>
                <c:pt idx="1">
                  <c:v>6.3309634298953714</c:v>
                </c:pt>
                <c:pt idx="2">
                  <c:v>6.0153368354200767</c:v>
                </c:pt>
              </c:numCache>
            </c:numRef>
          </c:val>
        </c:ser>
        <c:ser>
          <c:idx val="2"/>
          <c:order val="2"/>
          <c:tx>
            <c:strRef>
              <c:f>Sheet1!$AW$382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4.8727064935325552</c:v>
                </c:pt>
                <c:pt idx="1">
                  <c:v>4.8456692932076137</c:v>
                </c:pt>
                <c:pt idx="2">
                  <c:v>4.5210009507354885</c:v>
                </c:pt>
              </c:numCache>
            </c:numRef>
          </c:val>
        </c:ser>
        <c:ser>
          <c:idx val="3"/>
          <c:order val="3"/>
          <c:tx>
            <c:strRef>
              <c:f>Sheet1!$AW$383</c:f>
              <c:strCache>
                <c:ptCount val="1"/>
                <c:pt idx="0">
                  <c:v>Cheshire East</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2.2362585515451787</c:v>
                </c:pt>
                <c:pt idx="1">
                  <c:v>2.2692123819768102</c:v>
                </c:pt>
                <c:pt idx="2">
                  <c:v>2.35622086769451</c:v>
                </c:pt>
              </c:numCache>
            </c:numRef>
          </c:val>
        </c:ser>
        <c:axId val="153413120"/>
        <c:axId val="153414656"/>
      </c:barChart>
      <c:catAx>
        <c:axId val="153413120"/>
        <c:scaling>
          <c:orientation val="minMax"/>
        </c:scaling>
        <c:axPos val="b"/>
        <c:numFmt formatCode="General" sourceLinked="1"/>
        <c:tickLblPos val="nextTo"/>
        <c:crossAx val="153414656"/>
        <c:crosses val="autoZero"/>
        <c:auto val="1"/>
        <c:lblAlgn val="ctr"/>
        <c:lblOffset val="100"/>
      </c:catAx>
      <c:valAx>
        <c:axId val="153414656"/>
        <c:scaling>
          <c:orientation val="minMax"/>
        </c:scaling>
        <c:axPos val="l"/>
        <c:majorGridlines/>
        <c:numFmt formatCode="General" sourceLinked="1"/>
        <c:tickLblPos val="nextTo"/>
        <c:txPr>
          <a:bodyPr/>
          <a:lstStyle/>
          <a:p>
            <a:pPr>
              <a:defRPr sz="800"/>
            </a:pPr>
            <a:endParaRPr lang="en-US"/>
          </a:p>
        </c:txPr>
        <c:crossAx val="153413120"/>
        <c:crosses val="autoZero"/>
        <c:crossBetween val="between"/>
      </c:valAx>
    </c:plotArea>
    <c:legend>
      <c:legendPos val="r"/>
      <c:txPr>
        <a:bodyPr/>
        <a:lstStyle/>
        <a:p>
          <a:pPr>
            <a:defRPr sz="800"/>
          </a:pPr>
          <a:endParaRPr lang="en-US"/>
        </a:p>
      </c:txPr>
    </c:legend>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further education college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13.740378949896888</c:v>
                </c:pt>
                <c:pt idx="1">
                  <c:v>13.73060419479131</c:v>
                </c:pt>
                <c:pt idx="2">
                  <c:v>14.147957111368399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10.405871096220094</c:v>
                </c:pt>
                <c:pt idx="1">
                  <c:v>10.138128211590052</c:v>
                </c:pt>
                <c:pt idx="2">
                  <c:v>10.902071617933165</c:v>
                </c:pt>
              </c:numCache>
            </c:numRef>
          </c:val>
        </c:ser>
        <c:ser>
          <c:idx val="2"/>
          <c:order val="2"/>
          <c:tx>
            <c:strRef>
              <c:f>Sheet1!$AA$382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11.141171318577406</c:v>
                </c:pt>
                <c:pt idx="1">
                  <c:v>10.908017950822837</c:v>
                </c:pt>
                <c:pt idx="2">
                  <c:v>11.592536797179001</c:v>
                </c:pt>
              </c:numCache>
            </c:numRef>
          </c:val>
        </c:ser>
        <c:ser>
          <c:idx val="3"/>
          <c:order val="3"/>
          <c:tx>
            <c:strRef>
              <c:f>Sheet1!$AA$383</c:f>
              <c:strCache>
                <c:ptCount val="1"/>
                <c:pt idx="0">
                  <c:v>Cheshire East</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11.3423567842836</c:v>
                </c:pt>
                <c:pt idx="1">
                  <c:v>11.179206909044408</c:v>
                </c:pt>
                <c:pt idx="2">
                  <c:v>11.2658762425405</c:v>
                </c:pt>
              </c:numCache>
            </c:numRef>
          </c:val>
        </c:ser>
        <c:marker val="1"/>
        <c:axId val="153327104"/>
        <c:axId val="153328640"/>
      </c:lineChart>
      <c:catAx>
        <c:axId val="153327104"/>
        <c:scaling>
          <c:orientation val="minMax"/>
        </c:scaling>
        <c:axPos val="b"/>
        <c:numFmt formatCode="General" sourceLinked="1"/>
        <c:tickLblPos val="nextTo"/>
        <c:crossAx val="153328640"/>
        <c:crosses val="autoZero"/>
        <c:auto val="1"/>
        <c:lblAlgn val="ctr"/>
        <c:lblOffset val="100"/>
      </c:catAx>
      <c:valAx>
        <c:axId val="15332864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327104"/>
        <c:crosses val="autoZero"/>
        <c:crossBetween val="between"/>
      </c:valAx>
    </c:plotArea>
    <c:legend>
      <c:legendPos val="r"/>
      <c:txPr>
        <a:bodyPr/>
        <a:lstStyle/>
        <a:p>
          <a:pPr>
            <a:defRPr sz="800"/>
          </a:pPr>
          <a:endParaRPr lang="en-US"/>
        </a:p>
      </c:txPr>
    </c:legend>
    <c:plotVisOnly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further education colleges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6.8427595339716714</c:v>
                </c:pt>
                <c:pt idx="1">
                  <c:v>6.4403684312977507</c:v>
                </c:pt>
                <c:pt idx="2">
                  <c:v>6.193041150199595</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9.6663199121347603</c:v>
                </c:pt>
                <c:pt idx="1">
                  <c:v>9.6683292219804979</c:v>
                </c:pt>
                <c:pt idx="2">
                  <c:v>9.5066260915587755</c:v>
                </c:pt>
              </c:numCache>
            </c:numRef>
          </c:val>
        </c:ser>
        <c:ser>
          <c:idx val="2"/>
          <c:order val="2"/>
          <c:tx>
            <c:strRef>
              <c:f>Sheet1!$BH$382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9.0493602510928763</c:v>
                </c:pt>
                <c:pt idx="1">
                  <c:v>8.9301772499594332</c:v>
                </c:pt>
                <c:pt idx="2">
                  <c:v>8.7141112110785439</c:v>
                </c:pt>
              </c:numCache>
            </c:numRef>
          </c:val>
        </c:ser>
        <c:ser>
          <c:idx val="3"/>
          <c:order val="3"/>
          <c:tx>
            <c:strRef>
              <c:f>Sheet1!$BH$383</c:f>
              <c:strCache>
                <c:ptCount val="1"/>
                <c:pt idx="0">
                  <c:v>Cheshire East</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9.4045765510733705</c:v>
                </c:pt>
                <c:pt idx="1">
                  <c:v>9.6478427154296593</c:v>
                </c:pt>
                <c:pt idx="2">
                  <c:v>9.2269033106250689</c:v>
                </c:pt>
              </c:numCache>
            </c:numRef>
          </c:val>
        </c:ser>
        <c:axId val="153499904"/>
        <c:axId val="153522176"/>
      </c:barChart>
      <c:catAx>
        <c:axId val="153499904"/>
        <c:scaling>
          <c:orientation val="minMax"/>
        </c:scaling>
        <c:axPos val="b"/>
        <c:numFmt formatCode="General" sourceLinked="1"/>
        <c:tickLblPos val="nextTo"/>
        <c:crossAx val="153522176"/>
        <c:crosses val="autoZero"/>
        <c:auto val="1"/>
        <c:lblAlgn val="ctr"/>
        <c:lblOffset val="100"/>
      </c:catAx>
      <c:valAx>
        <c:axId val="153522176"/>
        <c:scaling>
          <c:orientation val="minMax"/>
        </c:scaling>
        <c:axPos val="l"/>
        <c:majorGridlines/>
        <c:numFmt formatCode="General" sourceLinked="1"/>
        <c:tickLblPos val="nextTo"/>
        <c:txPr>
          <a:bodyPr/>
          <a:lstStyle/>
          <a:p>
            <a:pPr>
              <a:defRPr sz="800"/>
            </a:pPr>
            <a:endParaRPr lang="en-US"/>
          </a:p>
        </c:txPr>
        <c:crossAx val="153499904"/>
        <c:crosses val="autoZero"/>
        <c:crossBetween val="between"/>
      </c:valAx>
    </c:plotArea>
    <c:legend>
      <c:legendPos val="r"/>
      <c:txPr>
        <a:bodyPr/>
        <a:lstStyle/>
        <a:p>
          <a:pPr>
            <a:defRPr sz="800"/>
          </a:pPr>
          <a:endParaRPr lang="en-US"/>
        </a:p>
      </c:txPr>
    </c:legend>
    <c:plotVisOnly val="1"/>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GP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16.04580775309589</c:v>
                </c:pt>
                <c:pt idx="1">
                  <c:v>16.466500173897643</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9.4531028921148028</c:v>
                </c:pt>
                <c:pt idx="1">
                  <c:v>9.6702875926913556</c:v>
                </c:pt>
              </c:numCache>
            </c:numRef>
          </c:val>
        </c:ser>
        <c:ser>
          <c:idx val="2"/>
          <c:order val="2"/>
          <c:tx>
            <c:strRef>
              <c:f>Sheet1!$E$382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10.966632760052851</c:v>
                </c:pt>
                <c:pt idx="1">
                  <c:v>11.085384586113129</c:v>
                </c:pt>
              </c:numCache>
            </c:numRef>
          </c:val>
        </c:ser>
        <c:ser>
          <c:idx val="3"/>
          <c:order val="3"/>
          <c:tx>
            <c:strRef>
              <c:f>Sheet1!$E$383</c:f>
              <c:strCache>
                <c:ptCount val="1"/>
                <c:pt idx="0">
                  <c:v>Cheshire East</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15.552891709785102</c:v>
                </c:pt>
                <c:pt idx="1">
                  <c:v>14.987618568566402</c:v>
                </c:pt>
              </c:numCache>
            </c:numRef>
          </c:val>
        </c:ser>
        <c:marker val="1"/>
        <c:axId val="153544960"/>
        <c:axId val="153419776"/>
      </c:lineChart>
      <c:catAx>
        <c:axId val="153544960"/>
        <c:scaling>
          <c:orientation val="minMax"/>
        </c:scaling>
        <c:axPos val="b"/>
        <c:numFmt formatCode="General" sourceLinked="1"/>
        <c:tickLblPos val="nextTo"/>
        <c:crossAx val="153419776"/>
        <c:crosses val="autoZero"/>
        <c:auto val="1"/>
        <c:lblAlgn val="ctr"/>
        <c:lblOffset val="100"/>
      </c:catAx>
      <c:valAx>
        <c:axId val="15341977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544960"/>
        <c:crosses val="autoZero"/>
        <c:crossBetween val="between"/>
      </c:valAx>
    </c:plotArea>
    <c:legend>
      <c:legendPos val="r"/>
      <c:txPr>
        <a:bodyPr/>
        <a:lstStyle/>
        <a:p>
          <a:pPr>
            <a:defRPr sz="800"/>
          </a:pPr>
          <a:endParaRPr lang="en-US"/>
        </a:p>
      </c:txPr>
    </c:legend>
    <c:plotVisOnly val="1"/>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GPs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4.0971148882304931</c:v>
                </c:pt>
                <c:pt idx="1">
                  <c:v>4.4173079784576625</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8.9067336346921397</c:v>
                </c:pt>
                <c:pt idx="1">
                  <c:v>9.1375224163466378</c:v>
                </c:pt>
              </c:numCache>
            </c:numRef>
          </c:val>
        </c:ser>
        <c:ser>
          <c:idx val="2"/>
          <c:order val="2"/>
          <c:tx>
            <c:strRef>
              <c:f>Sheet1!$AL$382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7.7300860905453028</c:v>
                </c:pt>
                <c:pt idx="1">
                  <c:v>8.1172980587118939</c:v>
                </c:pt>
              </c:numCache>
            </c:numRef>
          </c:val>
        </c:ser>
        <c:ser>
          <c:idx val="3"/>
          <c:order val="3"/>
          <c:tx>
            <c:strRef>
              <c:f>Sheet1!$AL$383</c:f>
              <c:strCache>
                <c:ptCount val="1"/>
                <c:pt idx="0">
                  <c:v>Cheshire East</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3.5222125408625522</c:v>
                </c:pt>
                <c:pt idx="1">
                  <c:v>4.668552374101596</c:v>
                </c:pt>
              </c:numCache>
            </c:numRef>
          </c:val>
        </c:ser>
        <c:axId val="153463424"/>
        <c:axId val="153473408"/>
      </c:barChart>
      <c:catAx>
        <c:axId val="153463424"/>
        <c:scaling>
          <c:orientation val="minMax"/>
        </c:scaling>
        <c:axPos val="b"/>
        <c:numFmt formatCode="General" sourceLinked="1"/>
        <c:tickLblPos val="nextTo"/>
        <c:crossAx val="153473408"/>
        <c:crosses val="autoZero"/>
        <c:auto val="1"/>
        <c:lblAlgn val="ctr"/>
        <c:lblOffset val="100"/>
      </c:catAx>
      <c:valAx>
        <c:axId val="153473408"/>
        <c:scaling>
          <c:orientation val="minMax"/>
        </c:scaling>
        <c:axPos val="l"/>
        <c:majorGridlines/>
        <c:numFmt formatCode="General" sourceLinked="1"/>
        <c:tickLblPos val="nextTo"/>
        <c:txPr>
          <a:bodyPr/>
          <a:lstStyle/>
          <a:p>
            <a:pPr>
              <a:defRPr sz="800"/>
            </a:pPr>
            <a:endParaRPr lang="en-US"/>
          </a:p>
        </c:txPr>
        <c:crossAx val="153463424"/>
        <c:crosses val="autoZero"/>
        <c:crossBetween val="between"/>
      </c:valAx>
    </c:plotArea>
    <c:legend>
      <c:legendPos val="r"/>
      <c:txPr>
        <a:bodyPr/>
        <a:lstStyle/>
        <a:p>
          <a:pPr>
            <a:defRPr sz="800"/>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Sheet1!$AB$379</c:f>
          <c:strCache>
            <c:ptCount val="1"/>
            <c:pt idx="0">
              <c:v>Travel time to nearest employment centre with 100 to 499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Sheet1!$AB$380</c:f>
              <c:strCache>
                <c:ptCount val="1"/>
                <c:pt idx="0">
                  <c:v>Predominantly Rural average</c:v>
                </c:pt>
              </c:strCache>
            </c:strRef>
          </c:tx>
          <c:spPr>
            <a:ln w="25400">
              <a:solidFill>
                <a:schemeClr val="bg1">
                  <a:lumMod val="65000"/>
                </a:schemeClr>
              </a:solidFill>
            </a:ln>
          </c:spPr>
          <c:marker>
            <c:symbol val="none"/>
          </c:marker>
          <c:cat>
            <c:numRef>
              <c:f>Sheet1!$AC$379:$AE$379</c:f>
              <c:numCache>
                <c:formatCode>General</c:formatCode>
                <c:ptCount val="3"/>
                <c:pt idx="0">
                  <c:v>2014</c:v>
                </c:pt>
                <c:pt idx="1">
                  <c:v>2015</c:v>
                </c:pt>
                <c:pt idx="2">
                  <c:v>2016</c:v>
                </c:pt>
              </c:numCache>
            </c:numRef>
          </c:cat>
          <c:val>
            <c:numRef>
              <c:f>Sheet1!$AC$380:$AE$380</c:f>
              <c:numCache>
                <c:formatCode>General</c:formatCode>
                <c:ptCount val="3"/>
                <c:pt idx="0">
                  <c:v>9.1411659764747473</c:v>
                </c:pt>
                <c:pt idx="1">
                  <c:v>9.0996803057103026</c:v>
                </c:pt>
                <c:pt idx="2">
                  <c:v>9.2291327650927109</c:v>
                </c:pt>
              </c:numCache>
            </c:numRef>
          </c:val>
        </c:ser>
        <c:ser>
          <c:idx val="2"/>
          <c:order val="1"/>
          <c:tx>
            <c:strRef>
              <c:f>Sheet1!$AB$381</c:f>
              <c:strCache>
                <c:ptCount val="1"/>
                <c:pt idx="0">
                  <c:v>Predominantly Urban average</c:v>
                </c:pt>
              </c:strCache>
            </c:strRef>
          </c:tx>
          <c:spPr>
            <a:ln w="25400">
              <a:solidFill>
                <a:schemeClr val="accent6">
                  <a:lumMod val="75000"/>
                </a:schemeClr>
              </a:solidFill>
              <a:prstDash val="sysDash"/>
            </a:ln>
          </c:spPr>
          <c:marker>
            <c:symbol val="none"/>
          </c:marker>
          <c:cat>
            <c:numRef>
              <c:f>Sheet1!$AC$379:$AE$379</c:f>
              <c:numCache>
                <c:formatCode>General</c:formatCode>
                <c:ptCount val="3"/>
                <c:pt idx="0">
                  <c:v>2014</c:v>
                </c:pt>
                <c:pt idx="1">
                  <c:v>2015</c:v>
                </c:pt>
                <c:pt idx="2">
                  <c:v>2016</c:v>
                </c:pt>
              </c:numCache>
            </c:numRef>
          </c:cat>
          <c:val>
            <c:numRef>
              <c:f>Sheet1!$AC$381:$AE$381</c:f>
              <c:numCache>
                <c:formatCode>General</c:formatCode>
                <c:ptCount val="3"/>
                <c:pt idx="0">
                  <c:v>7.2347379951063724</c:v>
                </c:pt>
                <c:pt idx="1">
                  <c:v>7.1007334154115336</c:v>
                </c:pt>
                <c:pt idx="2">
                  <c:v>7.3183307355858895</c:v>
                </c:pt>
              </c:numCache>
            </c:numRef>
          </c:val>
        </c:ser>
        <c:ser>
          <c:idx val="3"/>
          <c:order val="2"/>
          <c:tx>
            <c:strRef>
              <c:f>Sheet1!$AB$382</c:f>
              <c:strCache>
                <c:ptCount val="1"/>
                <c:pt idx="0">
                  <c:v>Unitary Authority average</c:v>
                </c:pt>
              </c:strCache>
            </c:strRef>
          </c:tx>
          <c:spPr>
            <a:ln w="25400">
              <a:solidFill>
                <a:schemeClr val="accent1">
                  <a:lumMod val="40000"/>
                  <a:lumOff val="60000"/>
                </a:schemeClr>
              </a:solidFill>
              <a:prstDash val="sysDot"/>
            </a:ln>
          </c:spPr>
          <c:marker>
            <c:symbol val="none"/>
          </c:marker>
          <c:cat>
            <c:numRef>
              <c:f>Sheet1!$AC$379:$AE$379</c:f>
              <c:numCache>
                <c:formatCode>General</c:formatCode>
                <c:ptCount val="3"/>
                <c:pt idx="0">
                  <c:v>2014</c:v>
                </c:pt>
                <c:pt idx="1">
                  <c:v>2015</c:v>
                </c:pt>
                <c:pt idx="2">
                  <c:v>2016</c:v>
                </c:pt>
              </c:numCache>
            </c:numRef>
          </c:cat>
          <c:val>
            <c:numRef>
              <c:f>Sheet1!$AC$382:$AE$382</c:f>
              <c:numCache>
                <c:formatCode>General</c:formatCode>
                <c:ptCount val="3"/>
                <c:pt idx="0">
                  <c:v>7.6742571362014225</c:v>
                </c:pt>
                <c:pt idx="1">
                  <c:v>7.5578456901187758</c:v>
                </c:pt>
                <c:pt idx="2">
                  <c:v>7.7258019540232326</c:v>
                </c:pt>
              </c:numCache>
            </c:numRef>
          </c:val>
        </c:ser>
        <c:ser>
          <c:idx val="4"/>
          <c:order val="3"/>
          <c:tx>
            <c:strRef>
              <c:f>Sheet1!$AB$383</c:f>
              <c:strCache>
                <c:ptCount val="1"/>
                <c:pt idx="0">
                  <c:v>Cheshire East</c:v>
                </c:pt>
              </c:strCache>
            </c:strRef>
          </c:tx>
          <c:spPr>
            <a:ln w="25400">
              <a:solidFill>
                <a:schemeClr val="tx1"/>
              </a:solidFill>
            </a:ln>
          </c:spPr>
          <c:marker>
            <c:symbol val="none"/>
          </c:marker>
          <c:cat>
            <c:numRef>
              <c:f>Sheet1!$AC$379:$AE$379</c:f>
              <c:numCache>
                <c:formatCode>General</c:formatCode>
                <c:ptCount val="3"/>
                <c:pt idx="0">
                  <c:v>2014</c:v>
                </c:pt>
                <c:pt idx="1">
                  <c:v>2015</c:v>
                </c:pt>
                <c:pt idx="2">
                  <c:v>2016</c:v>
                </c:pt>
              </c:numCache>
            </c:numRef>
          </c:cat>
          <c:val>
            <c:numRef>
              <c:f>Sheet1!$AC$383:$AE$383</c:f>
              <c:numCache>
                <c:formatCode>General</c:formatCode>
                <c:ptCount val="3"/>
                <c:pt idx="0">
                  <c:v>8.037941904692218</c:v>
                </c:pt>
                <c:pt idx="1">
                  <c:v>7.9694341580224535</c:v>
                </c:pt>
                <c:pt idx="2">
                  <c:v>8.0402834554641185</c:v>
                </c:pt>
              </c:numCache>
            </c:numRef>
          </c:val>
        </c:ser>
        <c:marker val="1"/>
        <c:axId val="122659200"/>
        <c:axId val="122660736"/>
      </c:lineChart>
      <c:catAx>
        <c:axId val="122659200"/>
        <c:scaling>
          <c:orientation val="minMax"/>
        </c:scaling>
        <c:axPos val="b"/>
        <c:numFmt formatCode="General" sourceLinked="1"/>
        <c:tickLblPos val="nextTo"/>
        <c:crossAx val="122660736"/>
        <c:crosses val="autoZero"/>
        <c:auto val="1"/>
        <c:lblAlgn val="ctr"/>
        <c:lblOffset val="100"/>
      </c:catAx>
      <c:valAx>
        <c:axId val="122660736"/>
        <c:scaling>
          <c:orientation val="minMax"/>
        </c:scaling>
        <c:axPos val="l"/>
        <c:majorGridlines/>
        <c:title>
          <c:tx>
            <c:strRef>
              <c:f>Sheet1!$AB$384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22659200"/>
        <c:crosses val="autoZero"/>
        <c:crossBetween val="between"/>
      </c:valAx>
    </c:plotArea>
    <c:legend>
      <c:legendPos val="r"/>
      <c:txPr>
        <a:bodyPr/>
        <a:lstStyle/>
        <a:p>
          <a:pPr>
            <a:defRPr sz="800"/>
          </a:pPr>
          <a:endParaRPr lang="en-US"/>
        </a:p>
      </c:txPr>
    </c:legend>
    <c:plotVisOnly val="1"/>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GP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12.589940856136282</c:v>
                </c:pt>
                <c:pt idx="1">
                  <c:v>12.860578278594355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8.3995536618610025</c:v>
                </c:pt>
                <c:pt idx="1">
                  <c:v>8.8403511598050333</c:v>
                </c:pt>
              </c:numCache>
            </c:numRef>
          </c:val>
        </c:ser>
        <c:ser>
          <c:idx val="2"/>
          <c:order val="2"/>
          <c:tx>
            <c:strRef>
              <c:f>Sheet1!$P$382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9.3553205058154063</c:v>
                </c:pt>
                <c:pt idx="1">
                  <c:v>9.6988478485066505</c:v>
                </c:pt>
              </c:numCache>
            </c:numRef>
          </c:val>
        </c:ser>
        <c:ser>
          <c:idx val="3"/>
          <c:order val="3"/>
          <c:tx>
            <c:strRef>
              <c:f>Sheet1!$P$383</c:f>
              <c:strCache>
                <c:ptCount val="1"/>
                <c:pt idx="0">
                  <c:v>Cheshire East</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11.497777074216501</c:v>
                </c:pt>
                <c:pt idx="1">
                  <c:v>11.558986579362415</c:v>
                </c:pt>
              </c:numCache>
            </c:numRef>
          </c:val>
        </c:ser>
        <c:marker val="1"/>
        <c:axId val="153565824"/>
        <c:axId val="153571712"/>
      </c:lineChart>
      <c:catAx>
        <c:axId val="153565824"/>
        <c:scaling>
          <c:orientation val="minMax"/>
        </c:scaling>
        <c:axPos val="b"/>
        <c:numFmt formatCode="General" sourceLinked="1"/>
        <c:tickLblPos val="nextTo"/>
        <c:crossAx val="153571712"/>
        <c:crosses val="autoZero"/>
        <c:auto val="1"/>
        <c:lblAlgn val="ctr"/>
        <c:lblOffset val="100"/>
      </c:catAx>
      <c:valAx>
        <c:axId val="15357171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565824"/>
        <c:crosses val="autoZero"/>
        <c:crossBetween val="between"/>
      </c:valAx>
    </c:plotArea>
    <c:legend>
      <c:legendPos val="r"/>
      <c:txPr>
        <a:bodyPr/>
        <a:lstStyle/>
        <a:p>
          <a:pPr>
            <a:defRPr sz="800"/>
          </a:pPr>
          <a:endParaRPr lang="en-US"/>
        </a:p>
      </c:txPr>
    </c:legend>
    <c:plotVisOnly val="1"/>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GPs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3.8716519768247979</c:v>
                </c:pt>
                <c:pt idx="1">
                  <c:v>4.3589576312148619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9.5402787050042619</c:v>
                </c:pt>
                <c:pt idx="1">
                  <c:v>9.6327263841582624</c:v>
                </c:pt>
              </c:numCache>
            </c:numRef>
          </c:val>
        </c:ser>
        <c:ser>
          <c:idx val="2"/>
          <c:order val="2"/>
          <c:tx>
            <c:strRef>
              <c:f>Sheet1!$AW$382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8.3165016845354209</c:v>
                </c:pt>
                <c:pt idx="1">
                  <c:v>8.5686843037612768</c:v>
                </c:pt>
              </c:numCache>
            </c:numRef>
          </c:val>
        </c:ser>
        <c:ser>
          <c:idx val="3"/>
          <c:order val="3"/>
          <c:tx>
            <c:strRef>
              <c:f>Sheet1!$AW$383</c:f>
              <c:strCache>
                <c:ptCount val="1"/>
                <c:pt idx="0">
                  <c:v>Cheshire East</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4.7775965097668385</c:v>
                </c:pt>
                <c:pt idx="1">
                  <c:v>5.9614913344834504</c:v>
                </c:pt>
              </c:numCache>
            </c:numRef>
          </c:val>
        </c:ser>
        <c:axId val="153619456"/>
        <c:axId val="153633536"/>
      </c:barChart>
      <c:catAx>
        <c:axId val="153619456"/>
        <c:scaling>
          <c:orientation val="minMax"/>
        </c:scaling>
        <c:axPos val="b"/>
        <c:numFmt formatCode="General" sourceLinked="1"/>
        <c:tickLblPos val="nextTo"/>
        <c:crossAx val="153633536"/>
        <c:crosses val="autoZero"/>
        <c:auto val="1"/>
        <c:lblAlgn val="ctr"/>
        <c:lblOffset val="100"/>
      </c:catAx>
      <c:valAx>
        <c:axId val="153633536"/>
        <c:scaling>
          <c:orientation val="minMax"/>
        </c:scaling>
        <c:axPos val="l"/>
        <c:majorGridlines/>
        <c:numFmt formatCode="General" sourceLinked="1"/>
        <c:tickLblPos val="nextTo"/>
        <c:txPr>
          <a:bodyPr/>
          <a:lstStyle/>
          <a:p>
            <a:pPr>
              <a:defRPr sz="800"/>
            </a:pPr>
            <a:endParaRPr lang="en-US"/>
          </a:p>
        </c:txPr>
        <c:crossAx val="153619456"/>
        <c:crosses val="autoZero"/>
        <c:crossBetween val="between"/>
      </c:valAx>
    </c:plotArea>
    <c:legend>
      <c:legendPos val="r"/>
      <c:txPr>
        <a:bodyPr/>
        <a:lstStyle/>
        <a:p>
          <a:pPr>
            <a:defRPr sz="800"/>
          </a:pPr>
          <a:endParaRPr lang="en-US"/>
        </a:p>
      </c:txPr>
    </c:legend>
    <c:plotVisOnly val="1"/>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GP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8.9894970042496354</c:v>
                </c:pt>
                <c:pt idx="1">
                  <c:v>8.8162809128798205</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7.6788019024738814</c:v>
                </c:pt>
                <c:pt idx="1">
                  <c:v>7.4908953976403012</c:v>
                </c:pt>
              </c:numCache>
            </c:numRef>
          </c:val>
        </c:ser>
        <c:ser>
          <c:idx val="2"/>
          <c:order val="2"/>
          <c:tx>
            <c:strRef>
              <c:f>Sheet1!$AA$382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7.9755779438215484</c:v>
                </c:pt>
                <c:pt idx="1">
                  <c:v>7.7509584863235785</c:v>
                </c:pt>
              </c:numCache>
            </c:numRef>
          </c:val>
        </c:ser>
        <c:ser>
          <c:idx val="3"/>
          <c:order val="3"/>
          <c:tx>
            <c:strRef>
              <c:f>Sheet1!$AA$383</c:f>
              <c:strCache>
                <c:ptCount val="1"/>
                <c:pt idx="0">
                  <c:v>Cheshire East</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9.1250663862126604</c:v>
                </c:pt>
                <c:pt idx="1">
                  <c:v>8.7142596272696302</c:v>
                </c:pt>
              </c:numCache>
            </c:numRef>
          </c:val>
        </c:ser>
        <c:marker val="1"/>
        <c:axId val="153672704"/>
        <c:axId val="153678592"/>
      </c:lineChart>
      <c:catAx>
        <c:axId val="153672704"/>
        <c:scaling>
          <c:orientation val="minMax"/>
        </c:scaling>
        <c:axPos val="b"/>
        <c:numFmt formatCode="General" sourceLinked="1"/>
        <c:tickLblPos val="nextTo"/>
        <c:crossAx val="153678592"/>
        <c:crosses val="autoZero"/>
        <c:auto val="1"/>
        <c:lblAlgn val="ctr"/>
        <c:lblOffset val="100"/>
      </c:catAx>
      <c:valAx>
        <c:axId val="153678592"/>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672704"/>
        <c:crosses val="autoZero"/>
        <c:crossBetween val="between"/>
      </c:valAx>
    </c:plotArea>
    <c:legend>
      <c:legendPos val="r"/>
      <c:txPr>
        <a:bodyPr/>
        <a:lstStyle/>
        <a:p>
          <a:pPr>
            <a:defRPr sz="800"/>
          </a:pPr>
          <a:endParaRPr lang="en-US"/>
        </a:p>
      </c:txPr>
    </c:legend>
    <c:plotVisOnly val="1"/>
  </c:chart>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GPs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9.7107169334079568</c:v>
                </c:pt>
                <c:pt idx="1">
                  <c:v>9.7568102408964279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9.9756998159148988</c:v>
                </c:pt>
                <c:pt idx="1">
                  <c:v>9.9958459569313867</c:v>
                </c:pt>
              </c:numCache>
            </c:numRef>
          </c:val>
        </c:ser>
        <c:ser>
          <c:idx val="2"/>
          <c:order val="2"/>
          <c:tx>
            <c:strRef>
              <c:f>Sheet1!$BH$382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9.9193818265404055</c:v>
                </c:pt>
                <c:pt idx="1">
                  <c:v>9.9629747000731559</c:v>
                </c:pt>
              </c:numCache>
            </c:numRef>
          </c:val>
        </c:ser>
        <c:ser>
          <c:idx val="3"/>
          <c:order val="3"/>
          <c:tx>
            <c:strRef>
              <c:f>Sheet1!$BH$383</c:f>
              <c:strCache>
                <c:ptCount val="1"/>
                <c:pt idx="0">
                  <c:v>Cheshire East</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9.9973118777923986</c:v>
                </c:pt>
                <c:pt idx="1">
                  <c:v>10</c:v>
                </c:pt>
              </c:numCache>
            </c:numRef>
          </c:val>
        </c:ser>
        <c:axId val="153709952"/>
        <c:axId val="153715840"/>
      </c:barChart>
      <c:catAx>
        <c:axId val="153709952"/>
        <c:scaling>
          <c:orientation val="minMax"/>
        </c:scaling>
        <c:axPos val="b"/>
        <c:numFmt formatCode="General" sourceLinked="1"/>
        <c:tickLblPos val="nextTo"/>
        <c:crossAx val="153715840"/>
        <c:crosses val="autoZero"/>
        <c:auto val="1"/>
        <c:lblAlgn val="ctr"/>
        <c:lblOffset val="100"/>
      </c:catAx>
      <c:valAx>
        <c:axId val="153715840"/>
        <c:scaling>
          <c:orientation val="minMax"/>
        </c:scaling>
        <c:axPos val="l"/>
        <c:majorGridlines/>
        <c:numFmt formatCode="General" sourceLinked="1"/>
        <c:tickLblPos val="nextTo"/>
        <c:txPr>
          <a:bodyPr/>
          <a:lstStyle/>
          <a:p>
            <a:pPr>
              <a:defRPr sz="800"/>
            </a:pPr>
            <a:endParaRPr lang="en-US"/>
          </a:p>
        </c:txPr>
        <c:crossAx val="153709952"/>
        <c:crosses val="autoZero"/>
        <c:crossBetween val="between"/>
      </c:valAx>
    </c:plotArea>
    <c:legend>
      <c:legendPos val="r"/>
      <c:txPr>
        <a:bodyPr/>
        <a:lstStyle/>
        <a:p>
          <a:pPr>
            <a:defRPr sz="800"/>
          </a:pPr>
          <a:endParaRPr lang="en-US"/>
        </a:p>
      </c:txPr>
    </c:legend>
    <c:plotVisOnly val="1"/>
  </c:chart>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hospital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53.412519562928551</c:v>
                </c:pt>
                <c:pt idx="1">
                  <c:v>57.148387670283334</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31.656542651292806</c:v>
                </c:pt>
                <c:pt idx="1">
                  <c:v>33.283915632687012</c:v>
                </c:pt>
              </c:numCache>
            </c:numRef>
          </c:val>
        </c:ser>
        <c:ser>
          <c:idx val="2"/>
          <c:order val="2"/>
          <c:tx>
            <c:strRef>
              <c:f>Sheet1!$E$382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37.468340219146654</c:v>
                </c:pt>
                <c:pt idx="1">
                  <c:v>40.685974659638298</c:v>
                </c:pt>
              </c:numCache>
            </c:numRef>
          </c:val>
        </c:ser>
        <c:ser>
          <c:idx val="3"/>
          <c:order val="3"/>
          <c:tx>
            <c:strRef>
              <c:f>Sheet1!$E$383</c:f>
              <c:strCache>
                <c:ptCount val="1"/>
                <c:pt idx="0">
                  <c:v>Cheshire East</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37.988979790079135</c:v>
                </c:pt>
                <c:pt idx="1">
                  <c:v>38.884975238516496</c:v>
                </c:pt>
              </c:numCache>
            </c:numRef>
          </c:val>
        </c:ser>
        <c:marker val="1"/>
        <c:axId val="153763840"/>
        <c:axId val="153765376"/>
      </c:lineChart>
      <c:catAx>
        <c:axId val="153763840"/>
        <c:scaling>
          <c:orientation val="minMax"/>
        </c:scaling>
        <c:axPos val="b"/>
        <c:numFmt formatCode="General" sourceLinked="1"/>
        <c:tickLblPos val="nextTo"/>
        <c:crossAx val="153765376"/>
        <c:crosses val="autoZero"/>
        <c:auto val="1"/>
        <c:lblAlgn val="ctr"/>
        <c:lblOffset val="100"/>
      </c:catAx>
      <c:valAx>
        <c:axId val="15376537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763840"/>
        <c:crosses val="autoZero"/>
        <c:crossBetween val="between"/>
      </c:valAx>
    </c:plotArea>
    <c:legend>
      <c:legendPos val="r"/>
      <c:txPr>
        <a:bodyPr/>
        <a:lstStyle/>
        <a:p>
          <a:pPr>
            <a:defRPr sz="800"/>
          </a:pPr>
          <a:endParaRPr lang="en-US"/>
        </a:p>
      </c:txPr>
    </c:legend>
    <c:plotVisOnly val="1"/>
  </c:chart>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hospitals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0.19934127571796278</c:v>
                </c:pt>
                <c:pt idx="1">
                  <c:v>0.18079587908351127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0.69143712455687967</c:v>
                </c:pt>
                <c:pt idx="1">
                  <c:v>0.58367292018198558</c:v>
                </c:pt>
              </c:numCache>
            </c:numRef>
          </c:val>
        </c:ser>
        <c:ser>
          <c:idx val="2"/>
          <c:order val="2"/>
          <c:tx>
            <c:strRef>
              <c:f>Sheet1!$AL$382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0.44042700370632093</c:v>
                </c:pt>
                <c:pt idx="1">
                  <c:v>0.37900781781347076</c:v>
                </c:pt>
              </c:numCache>
            </c:numRef>
          </c:val>
        </c:ser>
        <c:ser>
          <c:idx val="3"/>
          <c:order val="3"/>
          <c:tx>
            <c:strRef>
              <c:f>Sheet1!$AL$383</c:f>
              <c:strCache>
                <c:ptCount val="1"/>
                <c:pt idx="0">
                  <c:v>Cheshire East</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0.37060244835406647</c:v>
                </c:pt>
                <c:pt idx="1">
                  <c:v>0.38161801013161334</c:v>
                </c:pt>
              </c:numCache>
            </c:numRef>
          </c:val>
        </c:ser>
        <c:axId val="153809280"/>
        <c:axId val="153810816"/>
      </c:barChart>
      <c:catAx>
        <c:axId val="153809280"/>
        <c:scaling>
          <c:orientation val="minMax"/>
        </c:scaling>
        <c:axPos val="b"/>
        <c:numFmt formatCode="General" sourceLinked="1"/>
        <c:tickLblPos val="nextTo"/>
        <c:crossAx val="153810816"/>
        <c:crosses val="autoZero"/>
        <c:auto val="1"/>
        <c:lblAlgn val="ctr"/>
        <c:lblOffset val="100"/>
      </c:catAx>
      <c:valAx>
        <c:axId val="153810816"/>
        <c:scaling>
          <c:orientation val="minMax"/>
        </c:scaling>
        <c:axPos val="l"/>
        <c:majorGridlines/>
        <c:numFmt formatCode="General" sourceLinked="1"/>
        <c:tickLblPos val="nextTo"/>
        <c:txPr>
          <a:bodyPr/>
          <a:lstStyle/>
          <a:p>
            <a:pPr>
              <a:defRPr sz="800"/>
            </a:pPr>
            <a:endParaRPr lang="en-US"/>
          </a:p>
        </c:txPr>
        <c:crossAx val="153809280"/>
        <c:crosses val="autoZero"/>
        <c:crossBetween val="between"/>
      </c:valAx>
    </c:plotArea>
    <c:legend>
      <c:legendPos val="r"/>
      <c:txPr>
        <a:bodyPr/>
        <a:lstStyle/>
        <a:p>
          <a:pPr>
            <a:defRPr sz="800"/>
          </a:pPr>
          <a:endParaRPr lang="en-US"/>
        </a:p>
      </c:txPr>
    </c:legend>
    <c:plotVisOnly val="1"/>
  </c:chart>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hospital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37.319630827109002</c:v>
                </c:pt>
                <c:pt idx="1">
                  <c:v>61.864633101056725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19.754666624679633</c:v>
                </c:pt>
                <c:pt idx="1">
                  <c:v>26.735403844065353</c:v>
                </c:pt>
              </c:numCache>
            </c:numRef>
          </c:val>
        </c:ser>
        <c:ser>
          <c:idx val="2"/>
          <c:order val="2"/>
          <c:tx>
            <c:strRef>
              <c:f>Sheet1!$P$382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24.949504986276612</c:v>
                </c:pt>
                <c:pt idx="1">
                  <c:v>36.768486729000657</c:v>
                </c:pt>
              </c:numCache>
            </c:numRef>
          </c:val>
        </c:ser>
        <c:ser>
          <c:idx val="3"/>
          <c:order val="3"/>
          <c:tx>
            <c:strRef>
              <c:f>Sheet1!$P$383</c:f>
              <c:strCache>
                <c:ptCount val="1"/>
                <c:pt idx="0">
                  <c:v>Cheshire East</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28.032741536917676</c:v>
                </c:pt>
                <c:pt idx="1">
                  <c:v>32.069190552808813</c:v>
                </c:pt>
              </c:numCache>
            </c:numRef>
          </c:val>
        </c:ser>
        <c:marker val="1"/>
        <c:axId val="153895296"/>
        <c:axId val="153896832"/>
      </c:lineChart>
      <c:catAx>
        <c:axId val="153895296"/>
        <c:scaling>
          <c:orientation val="minMax"/>
        </c:scaling>
        <c:axPos val="b"/>
        <c:numFmt formatCode="General" sourceLinked="1"/>
        <c:tickLblPos val="nextTo"/>
        <c:crossAx val="153896832"/>
        <c:crosses val="autoZero"/>
        <c:auto val="1"/>
        <c:lblAlgn val="ctr"/>
        <c:lblOffset val="100"/>
      </c:catAx>
      <c:valAx>
        <c:axId val="15389683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3895296"/>
        <c:crosses val="autoZero"/>
        <c:crossBetween val="between"/>
      </c:valAx>
    </c:plotArea>
    <c:legend>
      <c:legendPos val="r"/>
      <c:txPr>
        <a:bodyPr/>
        <a:lstStyle/>
        <a:p>
          <a:pPr>
            <a:defRPr sz="800"/>
          </a:pPr>
          <a:endParaRPr lang="en-US"/>
        </a:p>
      </c:txPr>
    </c:legend>
    <c:plotVisOnly val="1"/>
  </c:chart>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hospitals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0.49929021683407482</c:v>
                </c:pt>
                <c:pt idx="1">
                  <c:v>0.19708615162226656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1.986772648121458</c:v>
                </c:pt>
                <c:pt idx="1">
                  <c:v>1.1189991466016569</c:v>
                </c:pt>
              </c:numCache>
            </c:numRef>
          </c:val>
        </c:ser>
        <c:ser>
          <c:idx val="2"/>
          <c:order val="2"/>
          <c:tx>
            <c:strRef>
              <c:f>Sheet1!$AW$382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1.1354239263798331</c:v>
                </c:pt>
                <c:pt idx="1">
                  <c:v>0.63878184168155094</c:v>
                </c:pt>
              </c:numCache>
            </c:numRef>
          </c:val>
        </c:ser>
        <c:ser>
          <c:idx val="3"/>
          <c:order val="3"/>
          <c:tx>
            <c:strRef>
              <c:f>Sheet1!$AW$383</c:f>
              <c:strCache>
                <c:ptCount val="1"/>
                <c:pt idx="0">
                  <c:v>Cheshire East</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0.59269695902313002</c:v>
                </c:pt>
                <c:pt idx="1">
                  <c:v>0.47419242750288026</c:v>
                </c:pt>
              </c:numCache>
            </c:numRef>
          </c:val>
        </c:ser>
        <c:axId val="153944832"/>
        <c:axId val="153946368"/>
      </c:barChart>
      <c:catAx>
        <c:axId val="153944832"/>
        <c:scaling>
          <c:orientation val="minMax"/>
        </c:scaling>
        <c:axPos val="b"/>
        <c:numFmt formatCode="General" sourceLinked="1"/>
        <c:tickLblPos val="nextTo"/>
        <c:crossAx val="153946368"/>
        <c:crosses val="autoZero"/>
        <c:auto val="1"/>
        <c:lblAlgn val="ctr"/>
        <c:lblOffset val="100"/>
      </c:catAx>
      <c:valAx>
        <c:axId val="153946368"/>
        <c:scaling>
          <c:orientation val="minMax"/>
        </c:scaling>
        <c:axPos val="l"/>
        <c:majorGridlines/>
        <c:numFmt formatCode="General" sourceLinked="1"/>
        <c:tickLblPos val="nextTo"/>
        <c:txPr>
          <a:bodyPr/>
          <a:lstStyle/>
          <a:p>
            <a:pPr>
              <a:defRPr sz="800"/>
            </a:pPr>
            <a:endParaRPr lang="en-US"/>
          </a:p>
        </c:txPr>
        <c:crossAx val="153944832"/>
        <c:crosses val="autoZero"/>
        <c:crossBetween val="between"/>
      </c:valAx>
    </c:plotArea>
    <c:legend>
      <c:legendPos val="r"/>
      <c:txPr>
        <a:bodyPr/>
        <a:lstStyle/>
        <a:p>
          <a:pPr>
            <a:defRPr sz="800"/>
          </a:pPr>
          <a:endParaRPr lang="en-US"/>
        </a:p>
      </c:txPr>
    </c:legend>
    <c:plotVisOnly val="1"/>
  </c:chart>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hospital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24.497731651967118</c:v>
                </c:pt>
                <c:pt idx="1">
                  <c:v>26.51826707561553</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15.682303891382222</c:v>
                </c:pt>
                <c:pt idx="1">
                  <c:v>16.090358911861987</c:v>
                </c:pt>
              </c:numCache>
            </c:numRef>
          </c:val>
        </c:ser>
        <c:ser>
          <c:idx val="2"/>
          <c:order val="2"/>
          <c:tx>
            <c:strRef>
              <c:f>Sheet1!$AA$382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19.080280170712484</c:v>
                </c:pt>
                <c:pt idx="1">
                  <c:v>20.461607365491776</c:v>
                </c:pt>
              </c:numCache>
            </c:numRef>
          </c:val>
        </c:ser>
        <c:ser>
          <c:idx val="3"/>
          <c:order val="3"/>
          <c:tx>
            <c:strRef>
              <c:f>Sheet1!$AA$383</c:f>
              <c:strCache>
                <c:ptCount val="1"/>
                <c:pt idx="0">
                  <c:v>Cheshire East</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16.387862315438117</c:v>
                </c:pt>
                <c:pt idx="1">
                  <c:v>16.930427180120976</c:v>
                </c:pt>
              </c:numCache>
            </c:numRef>
          </c:val>
        </c:ser>
        <c:marker val="1"/>
        <c:axId val="154002176"/>
        <c:axId val="154003712"/>
      </c:lineChart>
      <c:catAx>
        <c:axId val="154002176"/>
        <c:scaling>
          <c:orientation val="minMax"/>
        </c:scaling>
        <c:axPos val="b"/>
        <c:numFmt formatCode="General" sourceLinked="1"/>
        <c:tickLblPos val="nextTo"/>
        <c:crossAx val="154003712"/>
        <c:crosses val="autoZero"/>
        <c:auto val="1"/>
        <c:lblAlgn val="ctr"/>
        <c:lblOffset val="100"/>
      </c:catAx>
      <c:valAx>
        <c:axId val="154003712"/>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002176"/>
        <c:crosses val="autoZero"/>
        <c:crossBetween val="between"/>
      </c:valAx>
    </c:plotArea>
    <c:legend>
      <c:legendPos val="r"/>
      <c:txPr>
        <a:bodyPr/>
        <a:lstStyle/>
        <a:p>
          <a:pPr>
            <a:defRPr sz="800"/>
          </a:pPr>
          <a:endParaRPr lang="en-US"/>
        </a:p>
      </c:txPr>
    </c:legend>
    <c:plotVisOnly val="1"/>
  </c:chart>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hospitals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1.2749800474639406</c:v>
                </c:pt>
                <c:pt idx="1">
                  <c:v>0.99773844345834262</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3.5623845333160231</c:v>
                </c:pt>
                <c:pt idx="1">
                  <c:v>3.4371936601339192</c:v>
                </c:pt>
              </c:numCache>
            </c:numRef>
          </c:val>
        </c:ser>
        <c:ser>
          <c:idx val="2"/>
          <c:order val="2"/>
          <c:tx>
            <c:strRef>
              <c:f>Sheet1!$BH$382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2.2016562395675008</c:v>
                </c:pt>
                <c:pt idx="1">
                  <c:v>1.6744183226669878</c:v>
                </c:pt>
              </c:numCache>
            </c:numRef>
          </c:val>
        </c:ser>
        <c:ser>
          <c:idx val="3"/>
          <c:order val="3"/>
          <c:tx>
            <c:strRef>
              <c:f>Sheet1!$BH$383</c:f>
              <c:strCache>
                <c:ptCount val="1"/>
                <c:pt idx="0">
                  <c:v>Cheshire East</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2.1482916519901423</c:v>
                </c:pt>
                <c:pt idx="1">
                  <c:v>1.9554196816649498</c:v>
                </c:pt>
              </c:numCache>
            </c:numRef>
          </c:val>
        </c:ser>
        <c:axId val="154055808"/>
        <c:axId val="154057344"/>
      </c:barChart>
      <c:catAx>
        <c:axId val="154055808"/>
        <c:scaling>
          <c:orientation val="minMax"/>
        </c:scaling>
        <c:axPos val="b"/>
        <c:numFmt formatCode="General" sourceLinked="1"/>
        <c:tickLblPos val="nextTo"/>
        <c:crossAx val="154057344"/>
        <c:crosses val="autoZero"/>
        <c:auto val="1"/>
        <c:lblAlgn val="ctr"/>
        <c:lblOffset val="100"/>
      </c:catAx>
      <c:valAx>
        <c:axId val="154057344"/>
        <c:scaling>
          <c:orientation val="minMax"/>
        </c:scaling>
        <c:axPos val="l"/>
        <c:majorGridlines/>
        <c:numFmt formatCode="General" sourceLinked="1"/>
        <c:tickLblPos val="nextTo"/>
        <c:txPr>
          <a:bodyPr/>
          <a:lstStyle/>
          <a:p>
            <a:pPr>
              <a:defRPr sz="800"/>
            </a:pPr>
            <a:endParaRPr lang="en-US"/>
          </a:p>
        </c:txPr>
        <c:crossAx val="154055808"/>
        <c:crosses val="autoZero"/>
        <c:crossBetween val="between"/>
      </c:valAx>
    </c:plotArea>
    <c:legend>
      <c:legendPos val="r"/>
      <c:txPr>
        <a:bodyPr/>
        <a:lstStyle/>
        <a:p>
          <a:pPr>
            <a:defRPr sz="800"/>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Sheet1!$AM$379</c:f>
          <c:strCache>
            <c:ptCount val="1"/>
            <c:pt idx="0">
              <c:v>Travel time to nearest employment centre with 500 to 4999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Sheet1!$AM$380</c:f>
              <c:strCache>
                <c:ptCount val="1"/>
                <c:pt idx="0">
                  <c:v>Predominantly Rural average</c:v>
                </c:pt>
              </c:strCache>
            </c:strRef>
          </c:tx>
          <c:spPr>
            <a:ln w="25400">
              <a:solidFill>
                <a:schemeClr val="bg1">
                  <a:lumMod val="65000"/>
                </a:schemeClr>
              </a:solidFill>
            </a:ln>
          </c:spPr>
          <c:marker>
            <c:symbol val="none"/>
          </c:marker>
          <c:cat>
            <c:numRef>
              <c:f>Sheet1!$AN$379:$AP$379</c:f>
              <c:numCache>
                <c:formatCode>General</c:formatCode>
                <c:ptCount val="3"/>
                <c:pt idx="0">
                  <c:v>2014</c:v>
                </c:pt>
                <c:pt idx="1">
                  <c:v>2015</c:v>
                </c:pt>
                <c:pt idx="2">
                  <c:v>2016</c:v>
                </c:pt>
              </c:numCache>
            </c:numRef>
          </c:cat>
          <c:val>
            <c:numRef>
              <c:f>Sheet1!$AN$380:$AP$380</c:f>
              <c:numCache>
                <c:formatCode>General</c:formatCode>
                <c:ptCount val="3"/>
                <c:pt idx="0">
                  <c:v>18.106250069870509</c:v>
                </c:pt>
                <c:pt idx="1">
                  <c:v>18.683274512636373</c:v>
                </c:pt>
                <c:pt idx="2">
                  <c:v>19.272806004395552</c:v>
                </c:pt>
              </c:numCache>
            </c:numRef>
          </c:val>
        </c:ser>
        <c:ser>
          <c:idx val="2"/>
          <c:order val="1"/>
          <c:tx>
            <c:strRef>
              <c:f>Sheet1!$AM$381</c:f>
              <c:strCache>
                <c:ptCount val="1"/>
                <c:pt idx="0">
                  <c:v>Predominantly Urban average</c:v>
                </c:pt>
              </c:strCache>
            </c:strRef>
          </c:tx>
          <c:spPr>
            <a:ln w="25400">
              <a:solidFill>
                <a:schemeClr val="accent6">
                  <a:lumMod val="75000"/>
                </a:schemeClr>
              </a:solidFill>
              <a:prstDash val="sysDash"/>
            </a:ln>
          </c:spPr>
          <c:marker>
            <c:symbol val="none"/>
          </c:marker>
          <c:cat>
            <c:numRef>
              <c:f>Sheet1!$AN$379:$AP$379</c:f>
              <c:numCache>
                <c:formatCode>General</c:formatCode>
                <c:ptCount val="3"/>
                <c:pt idx="0">
                  <c:v>2014</c:v>
                </c:pt>
                <c:pt idx="1">
                  <c:v>2015</c:v>
                </c:pt>
                <c:pt idx="2">
                  <c:v>2016</c:v>
                </c:pt>
              </c:numCache>
            </c:numRef>
          </c:cat>
          <c:val>
            <c:numRef>
              <c:f>Sheet1!$AN$381:$AP$381</c:f>
              <c:numCache>
                <c:formatCode>General</c:formatCode>
                <c:ptCount val="3"/>
                <c:pt idx="0">
                  <c:v>11.085741193952634</c:v>
                </c:pt>
                <c:pt idx="1">
                  <c:v>11.034242077099782</c:v>
                </c:pt>
                <c:pt idx="2">
                  <c:v>11.751106239756774</c:v>
                </c:pt>
              </c:numCache>
            </c:numRef>
          </c:val>
        </c:ser>
        <c:ser>
          <c:idx val="3"/>
          <c:order val="2"/>
          <c:tx>
            <c:strRef>
              <c:f>Sheet1!$AM$382</c:f>
              <c:strCache>
                <c:ptCount val="1"/>
                <c:pt idx="0">
                  <c:v>Unitary Authority average</c:v>
                </c:pt>
              </c:strCache>
            </c:strRef>
          </c:tx>
          <c:spPr>
            <a:ln w="25400">
              <a:solidFill>
                <a:schemeClr val="accent1">
                  <a:lumMod val="40000"/>
                  <a:lumOff val="60000"/>
                </a:schemeClr>
              </a:solidFill>
              <a:prstDash val="sysDot"/>
            </a:ln>
          </c:spPr>
          <c:marker>
            <c:symbol val="none"/>
          </c:marker>
          <c:cat>
            <c:numRef>
              <c:f>Sheet1!$AN$379:$AP$379</c:f>
              <c:numCache>
                <c:formatCode>General</c:formatCode>
                <c:ptCount val="3"/>
                <c:pt idx="0">
                  <c:v>2014</c:v>
                </c:pt>
                <c:pt idx="1">
                  <c:v>2015</c:v>
                </c:pt>
                <c:pt idx="2">
                  <c:v>2016</c:v>
                </c:pt>
              </c:numCache>
            </c:numRef>
          </c:cat>
          <c:val>
            <c:numRef>
              <c:f>Sheet1!$AN$382:$AP$382</c:f>
              <c:numCache>
                <c:formatCode>General</c:formatCode>
                <c:ptCount val="3"/>
                <c:pt idx="0">
                  <c:v>12.914141372399548</c:v>
                </c:pt>
                <c:pt idx="1">
                  <c:v>12.943069598020656</c:v>
                </c:pt>
                <c:pt idx="2">
                  <c:v>13.799563014710392</c:v>
                </c:pt>
              </c:numCache>
            </c:numRef>
          </c:val>
        </c:ser>
        <c:ser>
          <c:idx val="4"/>
          <c:order val="3"/>
          <c:tx>
            <c:strRef>
              <c:f>Sheet1!$AM$383</c:f>
              <c:strCache>
                <c:ptCount val="1"/>
                <c:pt idx="0">
                  <c:v>Cheshire East</c:v>
                </c:pt>
              </c:strCache>
            </c:strRef>
          </c:tx>
          <c:spPr>
            <a:ln w="25400">
              <a:solidFill>
                <a:schemeClr val="tx1"/>
              </a:solidFill>
            </a:ln>
          </c:spPr>
          <c:marker>
            <c:symbol val="none"/>
          </c:marker>
          <c:cat>
            <c:numRef>
              <c:f>Sheet1!$AN$379:$AP$379</c:f>
              <c:numCache>
                <c:formatCode>General</c:formatCode>
                <c:ptCount val="3"/>
                <c:pt idx="0">
                  <c:v>2014</c:v>
                </c:pt>
                <c:pt idx="1">
                  <c:v>2015</c:v>
                </c:pt>
                <c:pt idx="2">
                  <c:v>2016</c:v>
                </c:pt>
              </c:numCache>
            </c:numRef>
          </c:cat>
          <c:val>
            <c:numRef>
              <c:f>Sheet1!$AN$383:$AP$383</c:f>
              <c:numCache>
                <c:formatCode>General</c:formatCode>
                <c:ptCount val="3"/>
                <c:pt idx="0">
                  <c:v>14.324853162988099</c:v>
                </c:pt>
                <c:pt idx="1">
                  <c:v>13.911129938886306</c:v>
                </c:pt>
                <c:pt idx="2">
                  <c:v>14.7892461486265</c:v>
                </c:pt>
              </c:numCache>
            </c:numRef>
          </c:val>
        </c:ser>
        <c:marker val="1"/>
        <c:axId val="152396544"/>
        <c:axId val="152398080"/>
      </c:lineChart>
      <c:catAx>
        <c:axId val="152396544"/>
        <c:scaling>
          <c:orientation val="minMax"/>
        </c:scaling>
        <c:axPos val="b"/>
        <c:numFmt formatCode="General" sourceLinked="1"/>
        <c:tickLblPos val="nextTo"/>
        <c:crossAx val="152398080"/>
        <c:crosses val="autoZero"/>
        <c:auto val="1"/>
        <c:lblAlgn val="ctr"/>
        <c:lblOffset val="100"/>
      </c:catAx>
      <c:valAx>
        <c:axId val="152398080"/>
        <c:scaling>
          <c:orientation val="minMax"/>
        </c:scaling>
        <c:axPos val="l"/>
        <c:majorGridlines/>
        <c:title>
          <c:tx>
            <c:strRef>
              <c:f>Sheet1!$AM$384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2396544"/>
        <c:crosses val="autoZero"/>
        <c:crossBetween val="between"/>
      </c:valAx>
    </c:plotArea>
    <c:legend>
      <c:legendPos val="r"/>
      <c:txPr>
        <a:bodyPr/>
        <a:lstStyle/>
        <a:p>
          <a:pPr>
            <a:defRPr sz="800"/>
          </a:pPr>
          <a:endParaRPr lang="en-US"/>
        </a:p>
      </c:txPr>
    </c:legend>
    <c:plotVisOnly val="1"/>
  </c:chart>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Pharmacy by cycle</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Sheet1!$E$380</c:f>
              <c:strCache>
                <c:ptCount val="1"/>
                <c:pt idx="0">
                  <c:v>Predominantly Rural average</c:v>
                </c:pt>
              </c:strCache>
            </c:strRef>
          </c:tx>
          <c:spPr>
            <a:solidFill>
              <a:schemeClr val="bg1">
                <a:lumMod val="75000"/>
              </a:schemeClr>
            </a:solidFill>
            <a:ln>
              <a:noFill/>
            </a:ln>
          </c:spPr>
          <c:cat>
            <c:numRef>
              <c:f>Sheet1!$G$379</c:f>
              <c:numCache>
                <c:formatCode>General</c:formatCode>
                <c:ptCount val="1"/>
                <c:pt idx="0">
                  <c:v>2015</c:v>
                </c:pt>
              </c:numCache>
            </c:numRef>
          </c:cat>
          <c:val>
            <c:numRef>
              <c:f>Sheet1!$G$380</c:f>
              <c:numCache>
                <c:formatCode>General</c:formatCode>
                <c:ptCount val="1"/>
                <c:pt idx="0">
                  <c:v>14.650989897177151</c:v>
                </c:pt>
              </c:numCache>
            </c:numRef>
          </c:val>
        </c:ser>
        <c:ser>
          <c:idx val="1"/>
          <c:order val="1"/>
          <c:tx>
            <c:strRef>
              <c:f>Sheet1!$E$381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Sheet1!$G$379</c:f>
              <c:numCache>
                <c:formatCode>General</c:formatCode>
                <c:ptCount val="1"/>
                <c:pt idx="0">
                  <c:v>2015</c:v>
                </c:pt>
              </c:numCache>
            </c:numRef>
          </c:cat>
          <c:val>
            <c:numRef>
              <c:f>Sheet1!$G$381</c:f>
              <c:numCache>
                <c:formatCode>General</c:formatCode>
                <c:ptCount val="1"/>
                <c:pt idx="0">
                  <c:v>7.7081046023850375</c:v>
                </c:pt>
              </c:numCache>
            </c:numRef>
          </c:val>
        </c:ser>
        <c:ser>
          <c:idx val="2"/>
          <c:order val="2"/>
          <c:tx>
            <c:strRef>
              <c:f>Sheet1!$E$382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Sheet1!$G$379</c:f>
              <c:numCache>
                <c:formatCode>General</c:formatCode>
                <c:ptCount val="1"/>
                <c:pt idx="0">
                  <c:v>2015</c:v>
                </c:pt>
              </c:numCache>
            </c:numRef>
          </c:cat>
          <c:val>
            <c:numRef>
              <c:f>Sheet1!$G$382</c:f>
              <c:numCache>
                <c:formatCode>General</c:formatCode>
                <c:ptCount val="1"/>
                <c:pt idx="0">
                  <c:v>9.4405186086338819</c:v>
                </c:pt>
              </c:numCache>
            </c:numRef>
          </c:val>
        </c:ser>
        <c:ser>
          <c:idx val="3"/>
          <c:order val="3"/>
          <c:tx>
            <c:strRef>
              <c:f>Sheet1!$E$383</c:f>
              <c:strCache>
                <c:ptCount val="1"/>
                <c:pt idx="0">
                  <c:v>Cheshire East</c:v>
                </c:pt>
              </c:strCache>
            </c:strRef>
          </c:tx>
          <c:spPr>
            <a:solidFill>
              <a:schemeClr val="tx1"/>
            </a:solidFill>
            <a:ln>
              <a:noFill/>
            </a:ln>
          </c:spPr>
          <c:cat>
            <c:numRef>
              <c:f>Sheet1!$G$379</c:f>
              <c:numCache>
                <c:formatCode>General</c:formatCode>
                <c:ptCount val="1"/>
                <c:pt idx="0">
                  <c:v>2015</c:v>
                </c:pt>
              </c:numCache>
            </c:numRef>
          </c:cat>
          <c:val>
            <c:numRef>
              <c:f>Sheet1!$G$383</c:f>
              <c:numCache>
                <c:formatCode>General</c:formatCode>
                <c:ptCount val="1"/>
                <c:pt idx="0">
                  <c:v>10.336776203478006</c:v>
                </c:pt>
              </c:numCache>
            </c:numRef>
          </c:val>
        </c:ser>
        <c:axId val="154154112"/>
        <c:axId val="154155648"/>
      </c:barChart>
      <c:catAx>
        <c:axId val="154154112"/>
        <c:scaling>
          <c:orientation val="minMax"/>
        </c:scaling>
        <c:axPos val="b"/>
        <c:numFmt formatCode="General" sourceLinked="1"/>
        <c:tickLblPos val="nextTo"/>
        <c:crossAx val="154155648"/>
        <c:crosses val="autoZero"/>
        <c:auto val="1"/>
        <c:lblAlgn val="ctr"/>
        <c:lblOffset val="100"/>
      </c:catAx>
      <c:valAx>
        <c:axId val="15415564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154112"/>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Pharmacies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a:noFill/>
            </a:ln>
          </c:spPr>
          <c:cat>
            <c:numRef>
              <c:f>Sheet1!$AN$379</c:f>
              <c:numCache>
                <c:formatCode>General</c:formatCode>
                <c:ptCount val="1"/>
                <c:pt idx="0">
                  <c:v>2015</c:v>
                </c:pt>
              </c:numCache>
            </c:numRef>
          </c:cat>
          <c:val>
            <c:numRef>
              <c:f>Sheet1!$AN$380</c:f>
              <c:numCache>
                <c:formatCode>General</c:formatCode>
                <c:ptCount val="1"/>
                <c:pt idx="0">
                  <c:v>4.7048595337079027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Sheet1!$AN$379</c:f>
              <c:numCache>
                <c:formatCode>General</c:formatCode>
                <c:ptCount val="1"/>
                <c:pt idx="0">
                  <c:v>2015</c:v>
                </c:pt>
              </c:numCache>
            </c:numRef>
          </c:cat>
          <c:val>
            <c:numRef>
              <c:f>Sheet1!$AN$381</c:f>
              <c:numCache>
                <c:formatCode>General</c:formatCode>
                <c:ptCount val="1"/>
                <c:pt idx="0">
                  <c:v>9.7916827461591112</c:v>
                </c:pt>
              </c:numCache>
            </c:numRef>
          </c:val>
        </c:ser>
        <c:ser>
          <c:idx val="2"/>
          <c:order val="2"/>
          <c:tx>
            <c:strRef>
              <c:f>Sheet1!$AL$382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Sheet1!$AN$379</c:f>
              <c:numCache>
                <c:formatCode>General</c:formatCode>
                <c:ptCount val="1"/>
                <c:pt idx="0">
                  <c:v>2015</c:v>
                </c:pt>
              </c:numCache>
            </c:numRef>
          </c:cat>
          <c:val>
            <c:numRef>
              <c:f>Sheet1!$AN$382</c:f>
              <c:numCache>
                <c:formatCode>General</c:formatCode>
                <c:ptCount val="1"/>
                <c:pt idx="0">
                  <c:v>8.6847606731707678</c:v>
                </c:pt>
              </c:numCache>
            </c:numRef>
          </c:val>
        </c:ser>
        <c:ser>
          <c:idx val="3"/>
          <c:order val="3"/>
          <c:tx>
            <c:strRef>
              <c:f>Sheet1!$AL$383</c:f>
              <c:strCache>
                <c:ptCount val="1"/>
                <c:pt idx="0">
                  <c:v>Cheshire East</c:v>
                </c:pt>
              </c:strCache>
            </c:strRef>
          </c:tx>
          <c:spPr>
            <a:solidFill>
              <a:schemeClr val="tx1"/>
            </a:solidFill>
            <a:ln>
              <a:noFill/>
            </a:ln>
          </c:spPr>
          <c:cat>
            <c:numRef>
              <c:f>Sheet1!$AN$379</c:f>
              <c:numCache>
                <c:formatCode>General</c:formatCode>
                <c:ptCount val="1"/>
                <c:pt idx="0">
                  <c:v>2015</c:v>
                </c:pt>
              </c:numCache>
            </c:numRef>
          </c:cat>
          <c:val>
            <c:numRef>
              <c:f>Sheet1!$AN$383</c:f>
              <c:numCache>
                <c:formatCode>General</c:formatCode>
                <c:ptCount val="1"/>
                <c:pt idx="0">
                  <c:v>8.4741985235398491</c:v>
                </c:pt>
              </c:numCache>
            </c:numRef>
          </c:val>
        </c:ser>
        <c:axId val="154199168"/>
        <c:axId val="154200704"/>
      </c:barChart>
      <c:catAx>
        <c:axId val="154199168"/>
        <c:scaling>
          <c:orientation val="minMax"/>
        </c:scaling>
        <c:axPos val="b"/>
        <c:numFmt formatCode="General" sourceLinked="1"/>
        <c:tickLblPos val="nextTo"/>
        <c:crossAx val="154200704"/>
        <c:crosses val="autoZero"/>
        <c:auto val="1"/>
        <c:lblAlgn val="ctr"/>
        <c:lblOffset val="100"/>
      </c:catAx>
      <c:valAx>
        <c:axId val="154200704"/>
        <c:scaling>
          <c:orientation val="minMax"/>
        </c:scaling>
        <c:axPos val="l"/>
        <c:majorGridlines/>
        <c:numFmt formatCode="General" sourceLinked="1"/>
        <c:tickLblPos val="nextTo"/>
        <c:txPr>
          <a:bodyPr/>
          <a:lstStyle/>
          <a:p>
            <a:pPr>
              <a:defRPr sz="800"/>
            </a:pPr>
            <a:endParaRPr lang="en-US"/>
          </a:p>
        </c:txPr>
        <c:crossAx val="154199168"/>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Pharmacy by car</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Sheet1!$P$380</c:f>
              <c:strCache>
                <c:ptCount val="1"/>
                <c:pt idx="0">
                  <c:v>Predominantly Rural average</c:v>
                </c:pt>
              </c:strCache>
            </c:strRef>
          </c:tx>
          <c:spPr>
            <a:solidFill>
              <a:schemeClr val="bg1">
                <a:lumMod val="75000"/>
              </a:schemeClr>
            </a:solidFill>
            <a:ln>
              <a:noFill/>
            </a:ln>
          </c:spPr>
          <c:cat>
            <c:numRef>
              <c:f>Sheet1!$R$379</c:f>
              <c:numCache>
                <c:formatCode>General</c:formatCode>
                <c:ptCount val="1"/>
                <c:pt idx="0">
                  <c:v>2015</c:v>
                </c:pt>
              </c:numCache>
            </c:numRef>
          </c:cat>
          <c:val>
            <c:numRef>
              <c:f>Sheet1!$R$380</c:f>
              <c:numCache>
                <c:formatCode>General</c:formatCode>
                <c:ptCount val="1"/>
                <c:pt idx="0">
                  <c:v>9.1262413690006259</c:v>
                </c:pt>
              </c:numCache>
            </c:numRef>
          </c:val>
        </c:ser>
        <c:ser>
          <c:idx val="1"/>
          <c:order val="1"/>
          <c:tx>
            <c:strRef>
              <c:f>Sheet1!$P$381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Sheet1!$R$379</c:f>
              <c:numCache>
                <c:formatCode>General</c:formatCode>
                <c:ptCount val="1"/>
                <c:pt idx="0">
                  <c:v>2015</c:v>
                </c:pt>
              </c:numCache>
            </c:numRef>
          </c:cat>
          <c:val>
            <c:numRef>
              <c:f>Sheet1!$R$381</c:f>
              <c:numCache>
                <c:formatCode>General</c:formatCode>
                <c:ptCount val="1"/>
                <c:pt idx="0">
                  <c:v>6.5634435274319944</c:v>
                </c:pt>
              </c:numCache>
            </c:numRef>
          </c:val>
        </c:ser>
        <c:ser>
          <c:idx val="2"/>
          <c:order val="2"/>
          <c:tx>
            <c:strRef>
              <c:f>Sheet1!$P$382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Sheet1!$R$379</c:f>
              <c:numCache>
                <c:formatCode>General</c:formatCode>
                <c:ptCount val="1"/>
                <c:pt idx="0">
                  <c:v>2015</c:v>
                </c:pt>
              </c:numCache>
            </c:numRef>
          </c:cat>
          <c:val>
            <c:numRef>
              <c:f>Sheet1!$R$382</c:f>
              <c:numCache>
                <c:formatCode>General</c:formatCode>
                <c:ptCount val="1"/>
                <c:pt idx="0">
                  <c:v>7.2616882817649193</c:v>
                </c:pt>
              </c:numCache>
            </c:numRef>
          </c:val>
        </c:ser>
        <c:ser>
          <c:idx val="3"/>
          <c:order val="3"/>
          <c:tx>
            <c:strRef>
              <c:f>Sheet1!$P$383</c:f>
              <c:strCache>
                <c:ptCount val="1"/>
                <c:pt idx="0">
                  <c:v>Cheshire East</c:v>
                </c:pt>
              </c:strCache>
            </c:strRef>
          </c:tx>
          <c:spPr>
            <a:solidFill>
              <a:schemeClr val="tx1"/>
            </a:solidFill>
            <a:ln>
              <a:noFill/>
            </a:ln>
          </c:spPr>
          <c:cat>
            <c:numRef>
              <c:f>Sheet1!$R$379</c:f>
              <c:numCache>
                <c:formatCode>General</c:formatCode>
                <c:ptCount val="1"/>
                <c:pt idx="0">
                  <c:v>2015</c:v>
                </c:pt>
              </c:numCache>
            </c:numRef>
          </c:cat>
          <c:val>
            <c:numRef>
              <c:f>Sheet1!$R$383</c:f>
              <c:numCache>
                <c:formatCode>General</c:formatCode>
                <c:ptCount val="1"/>
                <c:pt idx="0">
                  <c:v>7.7919961251658902</c:v>
                </c:pt>
              </c:numCache>
            </c:numRef>
          </c:val>
        </c:ser>
        <c:axId val="154112768"/>
        <c:axId val="154114304"/>
      </c:barChart>
      <c:catAx>
        <c:axId val="154112768"/>
        <c:scaling>
          <c:orientation val="minMax"/>
        </c:scaling>
        <c:axPos val="b"/>
        <c:numFmt formatCode="General" sourceLinked="1"/>
        <c:tickLblPos val="nextTo"/>
        <c:crossAx val="154114304"/>
        <c:crosses val="autoZero"/>
        <c:auto val="1"/>
        <c:lblAlgn val="ctr"/>
        <c:lblOffset val="100"/>
      </c:catAx>
      <c:valAx>
        <c:axId val="15411430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112768"/>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Pharmacies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a:noFill/>
            </a:ln>
          </c:spPr>
          <c:cat>
            <c:numRef>
              <c:f>Sheet1!$AY$379</c:f>
              <c:numCache>
                <c:formatCode>General</c:formatCode>
                <c:ptCount val="1"/>
                <c:pt idx="0">
                  <c:v>2015</c:v>
                </c:pt>
              </c:numCache>
            </c:numRef>
          </c:cat>
          <c:val>
            <c:numRef>
              <c:f>Sheet1!$AY$380</c:f>
              <c:numCache>
                <c:formatCode>General</c:formatCode>
                <c:ptCount val="1"/>
                <c:pt idx="0">
                  <c:v>9.5058546169903266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Sheet1!$AY$379</c:f>
              <c:numCache>
                <c:formatCode>General</c:formatCode>
                <c:ptCount val="1"/>
                <c:pt idx="0">
                  <c:v>2015</c:v>
                </c:pt>
              </c:numCache>
            </c:numRef>
          </c:cat>
          <c:val>
            <c:numRef>
              <c:f>Sheet1!$AY$381</c:f>
              <c:numCache>
                <c:formatCode>General</c:formatCode>
                <c:ptCount val="1"/>
                <c:pt idx="0">
                  <c:v>9.996338468726881</c:v>
                </c:pt>
              </c:numCache>
            </c:numRef>
          </c:val>
        </c:ser>
        <c:ser>
          <c:idx val="2"/>
          <c:order val="2"/>
          <c:tx>
            <c:strRef>
              <c:f>Sheet1!$AW$382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Sheet1!$AY$379</c:f>
              <c:numCache>
                <c:formatCode>General</c:formatCode>
                <c:ptCount val="1"/>
                <c:pt idx="0">
                  <c:v>2015</c:v>
                </c:pt>
              </c:numCache>
            </c:numRef>
          </c:cat>
          <c:val>
            <c:numRef>
              <c:f>Sheet1!$AY$382</c:f>
              <c:numCache>
                <c:formatCode>General</c:formatCode>
                <c:ptCount val="1"/>
                <c:pt idx="0">
                  <c:v>9.9015181778305195</c:v>
                </c:pt>
              </c:numCache>
            </c:numRef>
          </c:val>
        </c:ser>
        <c:ser>
          <c:idx val="3"/>
          <c:order val="3"/>
          <c:tx>
            <c:strRef>
              <c:f>Sheet1!$AW$383</c:f>
              <c:strCache>
                <c:ptCount val="1"/>
                <c:pt idx="0">
                  <c:v>Cheshire East</c:v>
                </c:pt>
              </c:strCache>
            </c:strRef>
          </c:tx>
          <c:spPr>
            <a:solidFill>
              <a:schemeClr val="tx1"/>
            </a:solidFill>
            <a:ln>
              <a:noFill/>
            </a:ln>
          </c:spPr>
          <c:cat>
            <c:numRef>
              <c:f>Sheet1!$AY$379</c:f>
              <c:numCache>
                <c:formatCode>General</c:formatCode>
                <c:ptCount val="1"/>
                <c:pt idx="0">
                  <c:v>2015</c:v>
                </c:pt>
              </c:numCache>
            </c:numRef>
          </c:cat>
          <c:val>
            <c:numRef>
              <c:f>Sheet1!$AY$383</c:f>
              <c:numCache>
                <c:formatCode>General</c:formatCode>
                <c:ptCount val="1"/>
                <c:pt idx="0">
                  <c:v>9.9938795788857728</c:v>
                </c:pt>
              </c:numCache>
            </c:numRef>
          </c:val>
        </c:ser>
        <c:axId val="154358912"/>
        <c:axId val="154360448"/>
      </c:barChart>
      <c:catAx>
        <c:axId val="154358912"/>
        <c:scaling>
          <c:orientation val="minMax"/>
        </c:scaling>
        <c:axPos val="b"/>
        <c:numFmt formatCode="General" sourceLinked="1"/>
        <c:tickLblPos val="nextTo"/>
        <c:crossAx val="154360448"/>
        <c:crosses val="autoZero"/>
        <c:auto val="1"/>
        <c:lblAlgn val="ctr"/>
        <c:lblOffset val="100"/>
      </c:catAx>
      <c:valAx>
        <c:axId val="154360448"/>
        <c:scaling>
          <c:orientation val="minMax"/>
        </c:scaling>
        <c:axPos val="l"/>
        <c:majorGridlines/>
        <c:numFmt formatCode="General" sourceLinked="1"/>
        <c:tickLblPos val="nextTo"/>
        <c:txPr>
          <a:bodyPr/>
          <a:lstStyle/>
          <a:p>
            <a:pPr>
              <a:defRPr sz="800"/>
            </a:pPr>
            <a:endParaRPr lang="en-US"/>
          </a:p>
        </c:txPr>
        <c:crossAx val="154358912"/>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food store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13.685779199251701</c:v>
                </c:pt>
                <c:pt idx="1">
                  <c:v>14.199831293440386</c:v>
                </c:pt>
                <c:pt idx="2">
                  <c:v>14.369985291499788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7.6033907037345729</c:v>
                </c:pt>
                <c:pt idx="1">
                  <c:v>7.6065014355120493</c:v>
                </c:pt>
                <c:pt idx="2">
                  <c:v>7.9513310678684652</c:v>
                </c:pt>
              </c:numCache>
            </c:numRef>
          </c:val>
        </c:ser>
        <c:ser>
          <c:idx val="2"/>
          <c:order val="2"/>
          <c:tx>
            <c:strRef>
              <c:f>Sheet1!$E$382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8.7253442319207348</c:v>
                </c:pt>
                <c:pt idx="1">
                  <c:v>8.8031680342833027</c:v>
                </c:pt>
                <c:pt idx="2">
                  <c:v>9.1992867425068052</c:v>
                </c:pt>
              </c:numCache>
            </c:numRef>
          </c:val>
        </c:ser>
        <c:ser>
          <c:idx val="3"/>
          <c:order val="3"/>
          <c:tx>
            <c:strRef>
              <c:f>Sheet1!$E$383</c:f>
              <c:strCache>
                <c:ptCount val="1"/>
                <c:pt idx="0">
                  <c:v>Cheshire East</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10.880415524605608</c:v>
                </c:pt>
                <c:pt idx="1">
                  <c:v>10.931399850897202</c:v>
                </c:pt>
                <c:pt idx="2">
                  <c:v>11.347310621648701</c:v>
                </c:pt>
              </c:numCache>
            </c:numRef>
          </c:val>
        </c:ser>
        <c:marker val="1"/>
        <c:axId val="154379392"/>
        <c:axId val="154380928"/>
      </c:lineChart>
      <c:catAx>
        <c:axId val="154379392"/>
        <c:scaling>
          <c:orientation val="minMax"/>
        </c:scaling>
        <c:axPos val="b"/>
        <c:numFmt formatCode="General" sourceLinked="1"/>
        <c:tickLblPos val="nextTo"/>
        <c:crossAx val="154380928"/>
        <c:crosses val="autoZero"/>
        <c:auto val="1"/>
        <c:lblAlgn val="ctr"/>
        <c:lblOffset val="100"/>
      </c:catAx>
      <c:valAx>
        <c:axId val="15438092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crossAx val="154379392"/>
        <c:crosses val="autoZero"/>
        <c:crossBetween val="between"/>
      </c:valAx>
    </c:plotArea>
    <c:legend>
      <c:legendPos val="r"/>
      <c:txPr>
        <a:bodyPr/>
        <a:lstStyle/>
        <a:p>
          <a:pPr>
            <a:defRPr sz="800"/>
          </a:pPr>
          <a:endParaRPr lang="en-US"/>
        </a:p>
      </c:txPr>
    </c:legend>
    <c:plotVisOnly val="1"/>
  </c:chart>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food stores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7.1981251542329892</c:v>
                </c:pt>
                <c:pt idx="1">
                  <c:v>7.2860736753870103</c:v>
                </c:pt>
                <c:pt idx="2">
                  <c:v>7.3894726111111124</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9.8150365431927078</c:v>
                </c:pt>
                <c:pt idx="1">
                  <c:v>9.8492121994220607</c:v>
                </c:pt>
                <c:pt idx="2">
                  <c:v>9.8659293591160271</c:v>
                </c:pt>
              </c:numCache>
            </c:numRef>
          </c:val>
        </c:ser>
        <c:ser>
          <c:idx val="2"/>
          <c:order val="2"/>
          <c:tx>
            <c:strRef>
              <c:f>Sheet1!$AL$382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9.2108950728349157</c:v>
                </c:pt>
                <c:pt idx="1">
                  <c:v>9.291485807684575</c:v>
                </c:pt>
                <c:pt idx="2">
                  <c:v>9.3402078909090971</c:v>
                </c:pt>
              </c:numCache>
            </c:numRef>
          </c:val>
        </c:ser>
        <c:ser>
          <c:idx val="3"/>
          <c:order val="3"/>
          <c:tx>
            <c:strRef>
              <c:f>Sheet1!$AL$383</c:f>
              <c:strCache>
                <c:ptCount val="1"/>
                <c:pt idx="0">
                  <c:v>Cheshire East</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8.799873936337848</c:v>
                </c:pt>
                <c:pt idx="1">
                  <c:v>8.9300723599587908</c:v>
                </c:pt>
                <c:pt idx="2">
                  <c:v>8.9461030000000008</c:v>
                </c:pt>
              </c:numCache>
            </c:numRef>
          </c:val>
        </c:ser>
        <c:axId val="154248704"/>
        <c:axId val="154250240"/>
      </c:barChart>
      <c:catAx>
        <c:axId val="154248704"/>
        <c:scaling>
          <c:orientation val="minMax"/>
        </c:scaling>
        <c:axPos val="b"/>
        <c:numFmt formatCode="General" sourceLinked="1"/>
        <c:tickLblPos val="nextTo"/>
        <c:crossAx val="154250240"/>
        <c:crosses val="autoZero"/>
        <c:auto val="1"/>
        <c:lblAlgn val="ctr"/>
        <c:lblOffset val="100"/>
      </c:catAx>
      <c:valAx>
        <c:axId val="154250240"/>
        <c:scaling>
          <c:orientation val="minMax"/>
        </c:scaling>
        <c:axPos val="l"/>
        <c:majorGridlines/>
        <c:numFmt formatCode="General" sourceLinked="1"/>
        <c:tickLblPos val="nextTo"/>
        <c:crossAx val="154248704"/>
        <c:crosses val="autoZero"/>
        <c:crossBetween val="between"/>
      </c:valAx>
    </c:plotArea>
    <c:legend>
      <c:legendPos val="r"/>
      <c:txPr>
        <a:bodyPr/>
        <a:lstStyle/>
        <a:p>
          <a:pPr>
            <a:defRPr sz="800"/>
          </a:pPr>
          <a:endParaRPr lang="en-US"/>
        </a:p>
      </c:txPr>
    </c:legend>
    <c:plotVisOnly val="1"/>
  </c:chart>
  <c:externalData r:id="rId1"/>
</c:chartSpace>
</file>

<file path=word/charts/chart4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food store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12.082258771210768</c:v>
                </c:pt>
                <c:pt idx="1">
                  <c:v>12.039015122196695</c:v>
                </c:pt>
                <c:pt idx="2">
                  <c:v>11.973294052476689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7.9627321924350394</c:v>
                </c:pt>
                <c:pt idx="1">
                  <c:v>7.9676448477783763</c:v>
                </c:pt>
                <c:pt idx="2">
                  <c:v>7.9433810024788585</c:v>
                </c:pt>
              </c:numCache>
            </c:numRef>
          </c:val>
        </c:ser>
        <c:ser>
          <c:idx val="2"/>
          <c:order val="2"/>
          <c:tx>
            <c:strRef>
              <c:f>Sheet1!$P$382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8.8112010963378911</c:v>
                </c:pt>
                <c:pt idx="1">
                  <c:v>8.8093171364803755</c:v>
                </c:pt>
                <c:pt idx="2">
                  <c:v>8.7539972954328142</c:v>
                </c:pt>
              </c:numCache>
            </c:numRef>
          </c:val>
        </c:ser>
        <c:ser>
          <c:idx val="3"/>
          <c:order val="3"/>
          <c:tx>
            <c:strRef>
              <c:f>Sheet1!$P$383</c:f>
              <c:strCache>
                <c:ptCount val="1"/>
                <c:pt idx="0">
                  <c:v>Cheshire East</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9.5084398468501998</c:v>
                </c:pt>
                <c:pt idx="1">
                  <c:v>9.4274282882959692</c:v>
                </c:pt>
                <c:pt idx="2">
                  <c:v>9.385634688612722</c:v>
                </c:pt>
              </c:numCache>
            </c:numRef>
          </c:val>
        </c:ser>
        <c:marker val="1"/>
        <c:axId val="154433024"/>
        <c:axId val="154434560"/>
      </c:lineChart>
      <c:catAx>
        <c:axId val="154433024"/>
        <c:scaling>
          <c:orientation val="minMax"/>
        </c:scaling>
        <c:axPos val="b"/>
        <c:numFmt formatCode="General" sourceLinked="1"/>
        <c:tickLblPos val="nextTo"/>
        <c:crossAx val="154434560"/>
        <c:crosses val="autoZero"/>
        <c:auto val="1"/>
        <c:lblAlgn val="ctr"/>
        <c:lblOffset val="100"/>
      </c:catAx>
      <c:valAx>
        <c:axId val="15443456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crossAx val="154433024"/>
        <c:crosses val="autoZero"/>
        <c:crossBetween val="between"/>
      </c:valAx>
    </c:plotArea>
    <c:legend>
      <c:legendPos val="r"/>
      <c:txPr>
        <a:bodyPr/>
        <a:lstStyle/>
        <a:p>
          <a:pPr>
            <a:defRPr sz="800"/>
          </a:pPr>
          <a:endParaRPr lang="en-US"/>
        </a:p>
      </c:txPr>
    </c:legend>
    <c:plotVisOnly val="1"/>
  </c:chart>
  <c:externalData r:id="rId1"/>
</c:chartSpace>
</file>

<file path=word/charts/chart4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food stores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6.6204478019061481</c:v>
                </c:pt>
                <c:pt idx="1">
                  <c:v>7.0321962275513465</c:v>
                </c:pt>
                <c:pt idx="2">
                  <c:v>7.1508395111111085</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9.4007660714401293</c:v>
                </c:pt>
                <c:pt idx="1">
                  <c:v>9.9257411516450524</c:v>
                </c:pt>
                <c:pt idx="2">
                  <c:v>9.9322411215469604</c:v>
                </c:pt>
              </c:numCache>
            </c:numRef>
          </c:val>
        </c:ser>
        <c:ser>
          <c:idx val="2"/>
          <c:order val="2"/>
          <c:tx>
            <c:strRef>
              <c:f>Sheet1!$AW$382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8.7972515624407315</c:v>
                </c:pt>
                <c:pt idx="1">
                  <c:v>9.3364074747462151</c:v>
                </c:pt>
                <c:pt idx="2">
                  <c:v>9.369971181818169</c:v>
                </c:pt>
              </c:numCache>
            </c:numRef>
          </c:val>
        </c:ser>
        <c:ser>
          <c:idx val="3"/>
          <c:order val="3"/>
          <c:tx>
            <c:strRef>
              <c:f>Sheet1!$AW$383</c:f>
              <c:strCache>
                <c:ptCount val="1"/>
                <c:pt idx="0">
                  <c:v>Cheshire East</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8.9644673501294676</c:v>
                </c:pt>
                <c:pt idx="1">
                  <c:v>9.4413530763650559</c:v>
                </c:pt>
                <c:pt idx="2">
                  <c:v>9.5079530000000005</c:v>
                </c:pt>
              </c:numCache>
            </c:numRef>
          </c:val>
        </c:ser>
        <c:axId val="154474368"/>
        <c:axId val="154475904"/>
      </c:barChart>
      <c:catAx>
        <c:axId val="154474368"/>
        <c:scaling>
          <c:orientation val="minMax"/>
        </c:scaling>
        <c:axPos val="b"/>
        <c:numFmt formatCode="General" sourceLinked="1"/>
        <c:tickLblPos val="nextTo"/>
        <c:crossAx val="154475904"/>
        <c:crosses val="autoZero"/>
        <c:auto val="1"/>
        <c:lblAlgn val="ctr"/>
        <c:lblOffset val="100"/>
      </c:catAx>
      <c:valAx>
        <c:axId val="154475904"/>
        <c:scaling>
          <c:orientation val="minMax"/>
        </c:scaling>
        <c:axPos val="l"/>
        <c:majorGridlines/>
        <c:numFmt formatCode="General" sourceLinked="1"/>
        <c:tickLblPos val="nextTo"/>
        <c:crossAx val="154474368"/>
        <c:crosses val="autoZero"/>
        <c:crossBetween val="between"/>
      </c:valAx>
    </c:plotArea>
    <c:legend>
      <c:legendPos val="r"/>
      <c:txPr>
        <a:bodyPr/>
        <a:lstStyle/>
        <a:p>
          <a:pPr>
            <a:defRPr sz="800"/>
          </a:pPr>
          <a:endParaRPr lang="en-US"/>
        </a:p>
      </c:txPr>
    </c:legend>
    <c:plotVisOnly val="1"/>
  </c:chart>
  <c:externalData r:id="rId1"/>
</c:chartSpace>
</file>

<file path=word/charts/chart4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food store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8.2855268386585923</c:v>
                </c:pt>
                <c:pt idx="1">
                  <c:v>8.2276490159920215</c:v>
                </c:pt>
                <c:pt idx="2">
                  <c:v>8.2703537033396159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7.0936801782653944</c:v>
                </c:pt>
                <c:pt idx="1">
                  <c:v>6.9665319079664298</c:v>
                </c:pt>
                <c:pt idx="2">
                  <c:v>7.0941014650009402</c:v>
                </c:pt>
              </c:numCache>
            </c:numRef>
          </c:val>
        </c:ser>
        <c:ser>
          <c:idx val="2"/>
          <c:order val="2"/>
          <c:tx>
            <c:strRef>
              <c:f>Sheet1!$AA$382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7.3271818378993041</c:v>
                </c:pt>
                <c:pt idx="1">
                  <c:v>7.2105854325630876</c:v>
                </c:pt>
                <c:pt idx="2">
                  <c:v>7.3187062232260915</c:v>
                </c:pt>
              </c:numCache>
            </c:numRef>
          </c:val>
        </c:ser>
        <c:ser>
          <c:idx val="3"/>
          <c:order val="3"/>
          <c:tx>
            <c:strRef>
              <c:f>Sheet1!$AA$383</c:f>
              <c:strCache>
                <c:ptCount val="1"/>
                <c:pt idx="0">
                  <c:v>Cheshire East</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7.5469409482515895</c:v>
                </c:pt>
                <c:pt idx="1">
                  <c:v>7.4181524379848236</c:v>
                </c:pt>
                <c:pt idx="2">
                  <c:v>7.5149377703208762</c:v>
                </c:pt>
              </c:numCache>
            </c:numRef>
          </c:val>
        </c:ser>
        <c:marker val="1"/>
        <c:axId val="154507136"/>
        <c:axId val="154508672"/>
      </c:lineChart>
      <c:catAx>
        <c:axId val="154507136"/>
        <c:scaling>
          <c:orientation val="minMax"/>
        </c:scaling>
        <c:axPos val="b"/>
        <c:numFmt formatCode="General" sourceLinked="1"/>
        <c:tickLblPos val="nextTo"/>
        <c:crossAx val="154508672"/>
        <c:crosses val="autoZero"/>
        <c:auto val="1"/>
        <c:lblAlgn val="ctr"/>
        <c:lblOffset val="100"/>
      </c:catAx>
      <c:valAx>
        <c:axId val="154508672"/>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crossAx val="154507136"/>
        <c:crosses val="autoZero"/>
        <c:crossBetween val="between"/>
      </c:valAx>
    </c:plotArea>
    <c:legend>
      <c:legendPos val="r"/>
      <c:txPr>
        <a:bodyPr/>
        <a:lstStyle/>
        <a:p>
          <a:pPr>
            <a:defRPr sz="800"/>
          </a:pPr>
          <a:endParaRPr lang="en-US"/>
        </a:p>
      </c:txPr>
    </c:legend>
    <c:plotVisOnly val="1"/>
  </c:chart>
  <c:externalData r:id="rId1"/>
</c:chartSpace>
</file>

<file path=word/charts/chart4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food stores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9.4931799997523942</c:v>
                </c:pt>
                <c:pt idx="1">
                  <c:v>9.9388782365024309</c:v>
                </c:pt>
                <c:pt idx="2">
                  <c:v>9.9419820444444493</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9.4669547133376373</c:v>
                </c:pt>
                <c:pt idx="1">
                  <c:v>9.9956035262133263</c:v>
                </c:pt>
                <c:pt idx="2">
                  <c:v>9.9991019392265201</c:v>
                </c:pt>
              </c:numCache>
            </c:numRef>
          </c:val>
        </c:ser>
        <c:ser>
          <c:idx val="2"/>
          <c:order val="2"/>
          <c:tx>
            <c:strRef>
              <c:f>Sheet1!$BH$382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9.4418268167022958</c:v>
                </c:pt>
                <c:pt idx="1">
                  <c:v>9.9849070448179162</c:v>
                </c:pt>
                <c:pt idx="2">
                  <c:v>9.9881498363636414</c:v>
                </c:pt>
              </c:numCache>
            </c:numRef>
          </c:val>
        </c:ser>
        <c:ser>
          <c:idx val="3"/>
          <c:order val="3"/>
          <c:tx>
            <c:strRef>
              <c:f>Sheet1!$BH$383</c:f>
              <c:strCache>
                <c:ptCount val="1"/>
                <c:pt idx="0">
                  <c:v>Cheshire East</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9.5424259839454209</c:v>
                </c:pt>
                <c:pt idx="1">
                  <c:v>10</c:v>
                </c:pt>
                <c:pt idx="2">
                  <c:v>10</c:v>
                </c:pt>
              </c:numCache>
            </c:numRef>
          </c:val>
        </c:ser>
        <c:axId val="154622208"/>
        <c:axId val="154636288"/>
      </c:barChart>
      <c:catAx>
        <c:axId val="154622208"/>
        <c:scaling>
          <c:orientation val="minMax"/>
        </c:scaling>
        <c:axPos val="b"/>
        <c:numFmt formatCode="General" sourceLinked="1"/>
        <c:tickLblPos val="nextTo"/>
        <c:crossAx val="154636288"/>
        <c:crosses val="autoZero"/>
        <c:auto val="1"/>
        <c:lblAlgn val="ctr"/>
        <c:lblOffset val="100"/>
      </c:catAx>
      <c:valAx>
        <c:axId val="154636288"/>
        <c:scaling>
          <c:orientation val="minMax"/>
        </c:scaling>
        <c:axPos val="l"/>
        <c:majorGridlines/>
        <c:numFmt formatCode="General" sourceLinked="1"/>
        <c:tickLblPos val="nextTo"/>
        <c:crossAx val="154622208"/>
        <c:crosses val="autoZero"/>
        <c:crossBetween val="between"/>
      </c:valAx>
    </c:plotArea>
    <c:legend>
      <c:legendPos val="r"/>
      <c:txPr>
        <a:bodyPr/>
        <a:lstStyle/>
        <a:p>
          <a:pPr>
            <a:defRPr sz="800"/>
          </a:pPr>
          <a:endParaRPr lang="en-US"/>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GB"/>
  <c:chart>
    <c:title>
      <c:tx>
        <c:strRef>
          <c:f>Sheet1!$AX$379</c:f>
          <c:strCache>
            <c:ptCount val="1"/>
            <c:pt idx="0">
              <c:v>Travel time to nearest employment centre with 500 to 4999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Sheet1!$AX$380</c:f>
              <c:strCache>
                <c:ptCount val="1"/>
                <c:pt idx="0">
                  <c:v>Predominantly Rural average</c:v>
                </c:pt>
              </c:strCache>
            </c:strRef>
          </c:tx>
          <c:spPr>
            <a:ln w="25400">
              <a:solidFill>
                <a:schemeClr val="bg1">
                  <a:lumMod val="65000"/>
                </a:schemeClr>
              </a:solidFill>
            </a:ln>
          </c:spPr>
          <c:marker>
            <c:symbol val="none"/>
          </c:marker>
          <c:cat>
            <c:numRef>
              <c:f>Sheet1!$AY$379:$BA$379</c:f>
              <c:numCache>
                <c:formatCode>General</c:formatCode>
                <c:ptCount val="3"/>
                <c:pt idx="0">
                  <c:v>2014</c:v>
                </c:pt>
                <c:pt idx="1">
                  <c:v>2015</c:v>
                </c:pt>
                <c:pt idx="2">
                  <c:v>2016</c:v>
                </c:pt>
              </c:numCache>
            </c:numRef>
          </c:cat>
          <c:val>
            <c:numRef>
              <c:f>Sheet1!$AY$380:$BA$380</c:f>
              <c:numCache>
                <c:formatCode>General</c:formatCode>
                <c:ptCount val="3"/>
                <c:pt idx="0">
                  <c:v>15.059595452355589</c:v>
                </c:pt>
                <c:pt idx="1">
                  <c:v>14.973611905576357</c:v>
                </c:pt>
                <c:pt idx="2">
                  <c:v>15.165945298149989</c:v>
                </c:pt>
              </c:numCache>
            </c:numRef>
          </c:val>
        </c:ser>
        <c:ser>
          <c:idx val="2"/>
          <c:order val="1"/>
          <c:tx>
            <c:strRef>
              <c:f>Sheet1!$AX$381</c:f>
              <c:strCache>
                <c:ptCount val="1"/>
                <c:pt idx="0">
                  <c:v>Predominantly Urban average</c:v>
                </c:pt>
              </c:strCache>
            </c:strRef>
          </c:tx>
          <c:spPr>
            <a:ln w="25400">
              <a:solidFill>
                <a:schemeClr val="accent6">
                  <a:lumMod val="75000"/>
                </a:schemeClr>
              </a:solidFill>
              <a:prstDash val="sysDash"/>
            </a:ln>
          </c:spPr>
          <c:marker>
            <c:symbol val="none"/>
          </c:marker>
          <c:cat>
            <c:numRef>
              <c:f>Sheet1!$AY$379:$BA$379</c:f>
              <c:numCache>
                <c:formatCode>General</c:formatCode>
                <c:ptCount val="3"/>
                <c:pt idx="0">
                  <c:v>2014</c:v>
                </c:pt>
                <c:pt idx="1">
                  <c:v>2015</c:v>
                </c:pt>
                <c:pt idx="2">
                  <c:v>2016</c:v>
                </c:pt>
              </c:numCache>
            </c:numRef>
          </c:cat>
          <c:val>
            <c:numRef>
              <c:f>Sheet1!$AY$381:$BA$381</c:f>
              <c:numCache>
                <c:formatCode>General</c:formatCode>
                <c:ptCount val="3"/>
                <c:pt idx="0">
                  <c:v>9.6072712179577451</c:v>
                </c:pt>
                <c:pt idx="1">
                  <c:v>9.589761960386447</c:v>
                </c:pt>
                <c:pt idx="2">
                  <c:v>9.764268019744371</c:v>
                </c:pt>
              </c:numCache>
            </c:numRef>
          </c:val>
        </c:ser>
        <c:ser>
          <c:idx val="3"/>
          <c:order val="2"/>
          <c:tx>
            <c:strRef>
              <c:f>Sheet1!$AX$382</c:f>
              <c:strCache>
                <c:ptCount val="1"/>
                <c:pt idx="0">
                  <c:v>Unitary Authority average</c:v>
                </c:pt>
              </c:strCache>
            </c:strRef>
          </c:tx>
          <c:spPr>
            <a:ln w="25400">
              <a:solidFill>
                <a:schemeClr val="accent1">
                  <a:lumMod val="40000"/>
                  <a:lumOff val="60000"/>
                </a:schemeClr>
              </a:solidFill>
              <a:prstDash val="sysDot"/>
            </a:ln>
          </c:spPr>
          <c:marker>
            <c:symbol val="none"/>
          </c:marker>
          <c:cat>
            <c:numRef>
              <c:f>Sheet1!$AY$379:$BA$379</c:f>
              <c:numCache>
                <c:formatCode>General</c:formatCode>
                <c:ptCount val="3"/>
                <c:pt idx="0">
                  <c:v>2014</c:v>
                </c:pt>
                <c:pt idx="1">
                  <c:v>2015</c:v>
                </c:pt>
                <c:pt idx="2">
                  <c:v>2016</c:v>
                </c:pt>
              </c:numCache>
            </c:numRef>
          </c:cat>
          <c:val>
            <c:numRef>
              <c:f>Sheet1!$AY$382:$BA$382</c:f>
              <c:numCache>
                <c:formatCode>General</c:formatCode>
                <c:ptCount val="3"/>
                <c:pt idx="0">
                  <c:v>11.00397702544962</c:v>
                </c:pt>
                <c:pt idx="1">
                  <c:v>10.948666869186766</c:v>
                </c:pt>
                <c:pt idx="2">
                  <c:v>11.168875184756409</c:v>
                </c:pt>
              </c:numCache>
            </c:numRef>
          </c:val>
        </c:ser>
        <c:ser>
          <c:idx val="4"/>
          <c:order val="3"/>
          <c:tx>
            <c:strRef>
              <c:f>Sheet1!$AX$383</c:f>
              <c:strCache>
                <c:ptCount val="1"/>
                <c:pt idx="0">
                  <c:v>Cheshire East</c:v>
                </c:pt>
              </c:strCache>
            </c:strRef>
          </c:tx>
          <c:spPr>
            <a:ln w="25400">
              <a:solidFill>
                <a:schemeClr val="tx1"/>
              </a:solidFill>
            </a:ln>
          </c:spPr>
          <c:marker>
            <c:symbol val="none"/>
          </c:marker>
          <c:cat>
            <c:numRef>
              <c:f>Sheet1!$AY$379:$BA$379</c:f>
              <c:numCache>
                <c:formatCode>General</c:formatCode>
                <c:ptCount val="3"/>
                <c:pt idx="0">
                  <c:v>2014</c:v>
                </c:pt>
                <c:pt idx="1">
                  <c:v>2015</c:v>
                </c:pt>
                <c:pt idx="2">
                  <c:v>2016</c:v>
                </c:pt>
              </c:numCache>
            </c:numRef>
          </c:cat>
          <c:val>
            <c:numRef>
              <c:f>Sheet1!$AY$383:$BA$383</c:f>
              <c:numCache>
                <c:formatCode>General</c:formatCode>
                <c:ptCount val="3"/>
                <c:pt idx="0">
                  <c:v>11.0832985518628</c:v>
                </c:pt>
                <c:pt idx="1">
                  <c:v>10.970089852740625</c:v>
                </c:pt>
                <c:pt idx="2">
                  <c:v>11.1888860884773</c:v>
                </c:pt>
              </c:numCache>
            </c:numRef>
          </c:val>
        </c:ser>
        <c:marker val="1"/>
        <c:axId val="152437888"/>
        <c:axId val="152439424"/>
      </c:lineChart>
      <c:catAx>
        <c:axId val="152437888"/>
        <c:scaling>
          <c:orientation val="minMax"/>
        </c:scaling>
        <c:axPos val="b"/>
        <c:numFmt formatCode="General" sourceLinked="1"/>
        <c:tickLblPos val="nextTo"/>
        <c:crossAx val="152439424"/>
        <c:crosses val="autoZero"/>
        <c:auto val="1"/>
        <c:lblAlgn val="ctr"/>
        <c:lblOffset val="100"/>
      </c:catAx>
      <c:valAx>
        <c:axId val="152439424"/>
        <c:scaling>
          <c:orientation val="minMax"/>
        </c:scaling>
        <c:axPos val="l"/>
        <c:majorGridlines/>
        <c:title>
          <c:tx>
            <c:strRef>
              <c:f>Sheet1!$AX$384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2437888"/>
        <c:crosses val="autoZero"/>
        <c:crossBetween val="between"/>
      </c:valAx>
    </c:plotArea>
    <c:legend>
      <c:legendPos val="r"/>
      <c:txPr>
        <a:bodyPr/>
        <a:lstStyle/>
        <a:p>
          <a:pPr>
            <a:defRPr sz="800"/>
          </a:pPr>
          <a:endParaRPr lang="en-US"/>
        </a:p>
      </c:txPr>
    </c:legend>
    <c:plotVisOnly val="1"/>
  </c:chart>
  <c:externalData r:id="rId1"/>
</c:chartSpace>
</file>

<file path=word/charts/chart5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town centre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25.887066691248631</c:v>
                </c:pt>
                <c:pt idx="1">
                  <c:v>27.415655140046823</c:v>
                </c:pt>
                <c:pt idx="2">
                  <c:v>27.63970520931538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17.961397931543786</c:v>
                </c:pt>
                <c:pt idx="1">
                  <c:v>18.070103158071223</c:v>
                </c:pt>
                <c:pt idx="2">
                  <c:v>18.298539782713693</c:v>
                </c:pt>
              </c:numCache>
            </c:numRef>
          </c:val>
        </c:ser>
        <c:ser>
          <c:idx val="2"/>
          <c:order val="2"/>
          <c:tx>
            <c:strRef>
              <c:f>Sheet1!$E$382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20.799132716227113</c:v>
                </c:pt>
                <c:pt idx="1">
                  <c:v>21.118976983201243</c:v>
                </c:pt>
                <c:pt idx="2">
                  <c:v>21.402324319488233</c:v>
                </c:pt>
              </c:numCache>
            </c:numRef>
          </c:val>
        </c:ser>
        <c:ser>
          <c:idx val="3"/>
          <c:order val="3"/>
          <c:tx>
            <c:strRef>
              <c:f>Sheet1!$E$383</c:f>
              <c:strCache>
                <c:ptCount val="1"/>
                <c:pt idx="0">
                  <c:v>Cheshire East</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21.134500257773499</c:v>
                </c:pt>
                <c:pt idx="1">
                  <c:v>21.453838653211101</c:v>
                </c:pt>
                <c:pt idx="2">
                  <c:v>22.282214491709489</c:v>
                </c:pt>
              </c:numCache>
            </c:numRef>
          </c:val>
        </c:ser>
        <c:marker val="1"/>
        <c:axId val="154536192"/>
        <c:axId val="154542080"/>
      </c:lineChart>
      <c:catAx>
        <c:axId val="154536192"/>
        <c:scaling>
          <c:orientation val="minMax"/>
        </c:scaling>
        <c:axPos val="b"/>
        <c:numFmt formatCode="General" sourceLinked="1"/>
        <c:tickLblPos val="nextTo"/>
        <c:crossAx val="154542080"/>
        <c:crosses val="autoZero"/>
        <c:auto val="1"/>
        <c:lblAlgn val="ctr"/>
        <c:lblOffset val="100"/>
      </c:catAx>
      <c:valAx>
        <c:axId val="15454208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536192"/>
        <c:crosses val="autoZero"/>
        <c:crossBetween val="between"/>
      </c:valAx>
    </c:plotArea>
    <c:legend>
      <c:legendPos val="r"/>
      <c:txPr>
        <a:bodyPr/>
        <a:lstStyle/>
        <a:p>
          <a:pPr>
            <a:defRPr sz="800"/>
          </a:pPr>
          <a:endParaRPr lang="en-US"/>
        </a:p>
      </c:txPr>
    </c:legend>
    <c:plotVisOnly val="1"/>
  </c:chart>
  <c:externalData r:id="rId1"/>
</c:chartSpace>
</file>

<file path=word/charts/chart5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town centres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0.91845196391245387</c:v>
                </c:pt>
                <c:pt idx="1">
                  <c:v>0.89391061267021255</c:v>
                </c:pt>
                <c:pt idx="2">
                  <c:v>1.25220318888889</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3.0962050253726767</c:v>
                </c:pt>
                <c:pt idx="1">
                  <c:v>3.0546176818692965</c:v>
                </c:pt>
                <c:pt idx="2">
                  <c:v>3.668621933701655</c:v>
                </c:pt>
              </c:numCache>
            </c:numRef>
          </c:val>
        </c:ser>
        <c:ser>
          <c:idx val="2"/>
          <c:order val="2"/>
          <c:tx>
            <c:strRef>
              <c:f>Sheet1!$AL$382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1.8278658059401443</c:v>
                </c:pt>
                <c:pt idx="1">
                  <c:v>1.80049290569064</c:v>
                </c:pt>
                <c:pt idx="2">
                  <c:v>2.3694325999999997</c:v>
                </c:pt>
              </c:numCache>
            </c:numRef>
          </c:val>
        </c:ser>
        <c:ser>
          <c:idx val="3"/>
          <c:order val="3"/>
          <c:tx>
            <c:strRef>
              <c:f>Sheet1!$AL$383</c:f>
              <c:strCache>
                <c:ptCount val="1"/>
                <c:pt idx="0">
                  <c:v>Cheshire East</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1.6472256724940191</c:v>
                </c:pt>
                <c:pt idx="1">
                  <c:v>1.68734645606891</c:v>
                </c:pt>
                <c:pt idx="2">
                  <c:v>2.191128</c:v>
                </c:pt>
              </c:numCache>
            </c:numRef>
          </c:val>
        </c:ser>
        <c:axId val="154598016"/>
        <c:axId val="154665344"/>
      </c:barChart>
      <c:catAx>
        <c:axId val="154598016"/>
        <c:scaling>
          <c:orientation val="minMax"/>
        </c:scaling>
        <c:axPos val="b"/>
        <c:numFmt formatCode="General" sourceLinked="1"/>
        <c:tickLblPos val="nextTo"/>
        <c:crossAx val="154665344"/>
        <c:crosses val="autoZero"/>
        <c:auto val="1"/>
        <c:lblAlgn val="ctr"/>
        <c:lblOffset val="100"/>
      </c:catAx>
      <c:valAx>
        <c:axId val="154665344"/>
        <c:scaling>
          <c:orientation val="minMax"/>
        </c:scaling>
        <c:axPos val="l"/>
        <c:majorGridlines/>
        <c:numFmt formatCode="General" sourceLinked="1"/>
        <c:tickLblPos val="nextTo"/>
        <c:txPr>
          <a:bodyPr/>
          <a:lstStyle/>
          <a:p>
            <a:pPr>
              <a:defRPr sz="800"/>
            </a:pPr>
            <a:endParaRPr lang="en-US"/>
          </a:p>
        </c:txPr>
        <c:crossAx val="154598016"/>
        <c:crosses val="autoZero"/>
        <c:crossBetween val="between"/>
      </c:valAx>
    </c:plotArea>
    <c:legend>
      <c:legendPos val="r"/>
      <c:txPr>
        <a:bodyPr/>
        <a:lstStyle/>
        <a:p>
          <a:pPr>
            <a:defRPr sz="800"/>
          </a:pPr>
          <a:endParaRPr lang="en-US"/>
        </a:p>
      </c:txPr>
    </c:legend>
    <c:plotVisOnly val="1"/>
  </c:chart>
  <c:externalData r:id="rId1"/>
</c:chartSpace>
</file>

<file path=word/charts/chart5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town centre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25.367412169568478</c:v>
                </c:pt>
                <c:pt idx="1">
                  <c:v>25.363241989400123</c:v>
                </c:pt>
                <c:pt idx="2">
                  <c:v>25.386577655748759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14.755380504948127</c:v>
                </c:pt>
                <c:pt idx="1">
                  <c:v>14.768894290337089</c:v>
                </c:pt>
                <c:pt idx="2">
                  <c:v>14.839606160573835</c:v>
                </c:pt>
              </c:numCache>
            </c:numRef>
          </c:val>
        </c:ser>
        <c:ser>
          <c:idx val="2"/>
          <c:order val="2"/>
          <c:tx>
            <c:strRef>
              <c:f>Sheet1!$P$382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17.855728487636267</c:v>
                </c:pt>
                <c:pt idx="1">
                  <c:v>17.872489775711781</c:v>
                </c:pt>
                <c:pt idx="2">
                  <c:v>17.925058875106533</c:v>
                </c:pt>
              </c:numCache>
            </c:numRef>
          </c:val>
        </c:ser>
        <c:ser>
          <c:idx val="3"/>
          <c:order val="3"/>
          <c:tx>
            <c:strRef>
              <c:f>Sheet1!$P$383</c:f>
              <c:strCache>
                <c:ptCount val="1"/>
                <c:pt idx="0">
                  <c:v>Cheshire East</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17.3350321297963</c:v>
                </c:pt>
                <c:pt idx="1">
                  <c:v>17.3342459881937</c:v>
                </c:pt>
                <c:pt idx="2">
                  <c:v>17.233095808074498</c:v>
                </c:pt>
              </c:numCache>
            </c:numRef>
          </c:val>
        </c:ser>
        <c:marker val="1"/>
        <c:axId val="154688128"/>
        <c:axId val="154706304"/>
      </c:lineChart>
      <c:catAx>
        <c:axId val="154688128"/>
        <c:scaling>
          <c:orientation val="minMax"/>
        </c:scaling>
        <c:axPos val="b"/>
        <c:numFmt formatCode="General" sourceLinked="1"/>
        <c:tickLblPos val="nextTo"/>
        <c:crossAx val="154706304"/>
        <c:crosses val="autoZero"/>
        <c:auto val="1"/>
        <c:lblAlgn val="ctr"/>
        <c:lblOffset val="100"/>
      </c:catAx>
      <c:valAx>
        <c:axId val="15470630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688128"/>
        <c:crosses val="autoZero"/>
        <c:crossBetween val="between"/>
      </c:valAx>
    </c:plotArea>
    <c:legend>
      <c:legendPos val="r"/>
      <c:txPr>
        <a:bodyPr/>
        <a:lstStyle/>
        <a:p>
          <a:pPr>
            <a:defRPr sz="800"/>
          </a:pPr>
          <a:endParaRPr lang="en-US"/>
        </a:p>
      </c:txPr>
    </c:legend>
    <c:plotVisOnly val="1"/>
  </c:chart>
  <c:externalData r:id="rId1"/>
</c:chartSpace>
</file>

<file path=word/charts/chart5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town centres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0.75649301268219604</c:v>
                </c:pt>
                <c:pt idx="1">
                  <c:v>0.75812888256698963</c:v>
                </c:pt>
                <c:pt idx="2">
                  <c:v>0.75436439999999949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4.0592024712475414</c:v>
                </c:pt>
                <c:pt idx="1">
                  <c:v>4.0531335393263177</c:v>
                </c:pt>
                <c:pt idx="2">
                  <c:v>4.0317282044198928</c:v>
                </c:pt>
              </c:numCache>
            </c:numRef>
          </c:val>
        </c:ser>
        <c:ser>
          <c:idx val="2"/>
          <c:order val="2"/>
          <c:tx>
            <c:strRef>
              <c:f>Sheet1!$AW$382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2.3981068729433774</c:v>
                </c:pt>
                <c:pt idx="1">
                  <c:v>2.3935261834007737</c:v>
                </c:pt>
                <c:pt idx="2">
                  <c:v>2.3782573454545437</c:v>
                </c:pt>
              </c:numCache>
            </c:numRef>
          </c:val>
        </c:ser>
        <c:ser>
          <c:idx val="3"/>
          <c:order val="3"/>
          <c:tx>
            <c:strRef>
              <c:f>Sheet1!$AW$383</c:f>
              <c:strCache>
                <c:ptCount val="1"/>
                <c:pt idx="0">
                  <c:v>Cheshire East</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1.61147673692862</c:v>
                </c:pt>
                <c:pt idx="1">
                  <c:v>1.6051657817253</c:v>
                </c:pt>
                <c:pt idx="2">
                  <c:v>1.607947</c:v>
                </c:pt>
              </c:numCache>
            </c:numRef>
          </c:val>
        </c:ser>
        <c:axId val="154729472"/>
        <c:axId val="154735360"/>
      </c:barChart>
      <c:catAx>
        <c:axId val="154729472"/>
        <c:scaling>
          <c:orientation val="minMax"/>
        </c:scaling>
        <c:axPos val="b"/>
        <c:numFmt formatCode="General" sourceLinked="1"/>
        <c:tickLblPos val="nextTo"/>
        <c:crossAx val="154735360"/>
        <c:crosses val="autoZero"/>
        <c:auto val="1"/>
        <c:lblAlgn val="ctr"/>
        <c:lblOffset val="100"/>
      </c:catAx>
      <c:valAx>
        <c:axId val="154735360"/>
        <c:scaling>
          <c:orientation val="minMax"/>
        </c:scaling>
        <c:axPos val="l"/>
        <c:majorGridlines/>
        <c:numFmt formatCode="General" sourceLinked="1"/>
        <c:tickLblPos val="nextTo"/>
        <c:txPr>
          <a:bodyPr/>
          <a:lstStyle/>
          <a:p>
            <a:pPr>
              <a:defRPr sz="800"/>
            </a:pPr>
            <a:endParaRPr lang="en-US"/>
          </a:p>
        </c:txPr>
        <c:crossAx val="154729472"/>
        <c:crosses val="autoZero"/>
        <c:crossBetween val="between"/>
      </c:valAx>
    </c:plotArea>
    <c:legend>
      <c:legendPos val="r"/>
      <c:txPr>
        <a:bodyPr/>
        <a:lstStyle/>
        <a:p>
          <a:pPr>
            <a:defRPr sz="800"/>
          </a:pPr>
          <a:endParaRPr lang="en-US"/>
        </a:p>
      </c:txPr>
    </c:legend>
    <c:plotVisOnly val="1"/>
  </c:chart>
  <c:externalData r:id="rId1"/>
</c:chartSpace>
</file>

<file path=word/charts/chart5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town centre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13.676523362647442</c:v>
                </c:pt>
                <c:pt idx="1">
                  <c:v>13.525411919796298</c:v>
                </c:pt>
                <c:pt idx="2">
                  <c:v>13.867963510066117</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11.165200868457704</c:v>
                </c:pt>
                <c:pt idx="1">
                  <c:v>10.733508101576341</c:v>
                </c:pt>
                <c:pt idx="2">
                  <c:v>11.447169338369884</c:v>
                </c:pt>
              </c:numCache>
            </c:numRef>
          </c:val>
        </c:ser>
        <c:ser>
          <c:idx val="2"/>
          <c:order val="2"/>
          <c:tx>
            <c:strRef>
              <c:f>Sheet1!$AA$382</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12.141056328405021</c:v>
                </c:pt>
                <c:pt idx="1">
                  <c:v>11.959363236361208</c:v>
                </c:pt>
                <c:pt idx="2">
                  <c:v>12.367735116236094</c:v>
                </c:pt>
              </c:numCache>
            </c:numRef>
          </c:val>
        </c:ser>
        <c:ser>
          <c:idx val="3"/>
          <c:order val="3"/>
          <c:tx>
            <c:strRef>
              <c:f>Sheet1!$AA$383</c:f>
              <c:strCache>
                <c:ptCount val="1"/>
                <c:pt idx="0">
                  <c:v>Cheshire East</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11.471210441446001</c:v>
                </c:pt>
                <c:pt idx="1">
                  <c:v>11.311974768051201</c:v>
                </c:pt>
                <c:pt idx="2">
                  <c:v>11.767325853391498</c:v>
                </c:pt>
              </c:numCache>
            </c:numRef>
          </c:val>
        </c:ser>
        <c:marker val="1"/>
        <c:axId val="154770432"/>
        <c:axId val="154784512"/>
      </c:lineChart>
      <c:catAx>
        <c:axId val="154770432"/>
        <c:scaling>
          <c:orientation val="minMax"/>
        </c:scaling>
        <c:axPos val="b"/>
        <c:numFmt formatCode="General" sourceLinked="1"/>
        <c:tickLblPos val="nextTo"/>
        <c:crossAx val="154784512"/>
        <c:crosses val="autoZero"/>
        <c:auto val="1"/>
        <c:lblAlgn val="ctr"/>
        <c:lblOffset val="100"/>
      </c:catAx>
      <c:valAx>
        <c:axId val="154784512"/>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770432"/>
        <c:crosses val="autoZero"/>
        <c:crossBetween val="between"/>
      </c:valAx>
    </c:plotArea>
    <c:legend>
      <c:legendPos val="r"/>
      <c:txPr>
        <a:bodyPr/>
        <a:lstStyle/>
        <a:p>
          <a:pPr>
            <a:defRPr sz="800"/>
          </a:pPr>
          <a:endParaRPr lang="en-US"/>
        </a:p>
      </c:txPr>
    </c:legend>
    <c:plotVisOnly val="1"/>
  </c:chart>
  <c:externalData r:id="rId1"/>
</c:chartSpace>
</file>

<file path=word/charts/chart5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town centres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4.8627499002286276</c:v>
                </c:pt>
                <c:pt idx="1">
                  <c:v>4.4260641064383712</c:v>
                </c:pt>
                <c:pt idx="2">
                  <c:v>4.2493166999999996</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8.8903210598189375</c:v>
                </c:pt>
                <c:pt idx="1">
                  <c:v>8.639822935220355</c:v>
                </c:pt>
                <c:pt idx="2">
                  <c:v>8.3426993038674162</c:v>
                </c:pt>
              </c:numCache>
            </c:numRef>
          </c:val>
        </c:ser>
        <c:ser>
          <c:idx val="2"/>
          <c:order val="2"/>
          <c:tx>
            <c:strRef>
              <c:f>Sheet1!$BH$382</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7.5701909485109375</c:v>
                </c:pt>
                <c:pt idx="1">
                  <c:v>7.1009140103222679</c:v>
                </c:pt>
                <c:pt idx="2">
                  <c:v>6.7876170909090927</c:v>
                </c:pt>
              </c:numCache>
            </c:numRef>
          </c:val>
        </c:ser>
        <c:ser>
          <c:idx val="3"/>
          <c:order val="3"/>
          <c:tx>
            <c:strRef>
              <c:f>Sheet1!$BH$383</c:f>
              <c:strCache>
                <c:ptCount val="1"/>
                <c:pt idx="0">
                  <c:v>Cheshire East</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8.0103940725360392</c:v>
                </c:pt>
                <c:pt idx="1">
                  <c:v>8.2309666485817559</c:v>
                </c:pt>
                <c:pt idx="2">
                  <c:v>7.2778119999999964</c:v>
                </c:pt>
              </c:numCache>
            </c:numRef>
          </c:val>
        </c:ser>
        <c:axId val="154819968"/>
        <c:axId val="154829952"/>
      </c:barChart>
      <c:catAx>
        <c:axId val="154819968"/>
        <c:scaling>
          <c:orientation val="minMax"/>
        </c:scaling>
        <c:axPos val="b"/>
        <c:numFmt formatCode="General" sourceLinked="1"/>
        <c:tickLblPos val="nextTo"/>
        <c:crossAx val="154829952"/>
        <c:crosses val="autoZero"/>
        <c:auto val="1"/>
        <c:lblAlgn val="ctr"/>
        <c:lblOffset val="100"/>
      </c:catAx>
      <c:valAx>
        <c:axId val="154829952"/>
        <c:scaling>
          <c:orientation val="minMax"/>
        </c:scaling>
        <c:axPos val="l"/>
        <c:majorGridlines/>
        <c:numFmt formatCode="General" sourceLinked="1"/>
        <c:tickLblPos val="nextTo"/>
        <c:txPr>
          <a:bodyPr/>
          <a:lstStyle/>
          <a:p>
            <a:pPr>
              <a:defRPr sz="800"/>
            </a:pPr>
            <a:endParaRPr lang="en-US"/>
          </a:p>
        </c:txPr>
        <c:crossAx val="154819968"/>
        <c:crosses val="autoZero"/>
        <c:crossBetween val="between"/>
      </c:valAx>
    </c:plotArea>
    <c:legend>
      <c:legendPos val="r"/>
      <c:txPr>
        <a:bodyPr/>
        <a:lstStyle/>
        <a:p>
          <a:pPr>
            <a:defRPr sz="800"/>
          </a:pPr>
          <a:endParaRPr lang="en-US"/>
        </a:p>
      </c:txPr>
    </c:legend>
    <c:plotVisOnly val="1"/>
  </c:chart>
  <c:externalData r:id="rId1"/>
</c:chartSpace>
</file>

<file path=word/charts/chart5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Motor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Sheet1!$C$180</c:f>
              <c:strCache>
                <c:ptCount val="1"/>
                <c:pt idx="0">
                  <c:v>Cheshire East</c:v>
                </c:pt>
              </c:strCache>
            </c:strRef>
          </c:tx>
          <c:spPr>
            <a:ln w="25400">
              <a:solidFill>
                <a:schemeClr val="tx1"/>
              </a:solidFill>
            </a:ln>
          </c:spPr>
          <c:marker>
            <c:symbol val="none"/>
          </c:marker>
          <c:cat>
            <c:numRef>
              <c:f>Sheet1!$D$176:$H$176</c:f>
              <c:numCache>
                <c:formatCode>General</c:formatCode>
                <c:ptCount val="5"/>
                <c:pt idx="0">
                  <c:v>2012</c:v>
                </c:pt>
                <c:pt idx="1">
                  <c:v>2013</c:v>
                </c:pt>
                <c:pt idx="2">
                  <c:v>2014</c:v>
                </c:pt>
                <c:pt idx="3">
                  <c:v>2015</c:v>
                </c:pt>
                <c:pt idx="4">
                  <c:v>2016</c:v>
                </c:pt>
              </c:numCache>
            </c:numRef>
          </c:cat>
          <c:val>
            <c:numRef>
              <c:f>Sheet1!$D$180:$H$180</c:f>
              <c:numCache>
                <c:formatCode>General</c:formatCode>
                <c:ptCount val="5"/>
                <c:pt idx="0">
                  <c:v>2738</c:v>
                </c:pt>
                <c:pt idx="1">
                  <c:v>2747</c:v>
                </c:pt>
                <c:pt idx="2">
                  <c:v>2859</c:v>
                </c:pt>
                <c:pt idx="3">
                  <c:v>2864</c:v>
                </c:pt>
                <c:pt idx="4">
                  <c:v>2880</c:v>
                </c:pt>
              </c:numCache>
            </c:numRef>
          </c:val>
        </c:ser>
        <c:marker val="1"/>
        <c:axId val="154862720"/>
        <c:axId val="154864256"/>
      </c:lineChart>
      <c:catAx>
        <c:axId val="154862720"/>
        <c:scaling>
          <c:orientation val="minMax"/>
        </c:scaling>
        <c:axPos val="b"/>
        <c:numFmt formatCode="General" sourceLinked="1"/>
        <c:tickLblPos val="nextTo"/>
        <c:crossAx val="154864256"/>
        <c:crosses val="autoZero"/>
        <c:auto val="1"/>
        <c:lblAlgn val="ctr"/>
        <c:lblOffset val="100"/>
      </c:catAx>
      <c:valAx>
        <c:axId val="154864256"/>
        <c:scaling>
          <c:orientation val="minMax"/>
        </c:scaling>
        <c:axPos val="l"/>
        <c:majorGridlines/>
        <c:title>
          <c:tx>
            <c:strRef>
              <c:f>Sheet1!$D$175</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862720"/>
        <c:crosses val="autoZero"/>
        <c:crossBetween val="between"/>
      </c:valAx>
    </c:plotArea>
    <c:legend>
      <c:legendPos val="r"/>
      <c:txPr>
        <a:bodyPr/>
        <a:lstStyle/>
        <a:p>
          <a:pPr>
            <a:defRPr sz="900"/>
          </a:pPr>
          <a:endParaRPr lang="en-US"/>
        </a:p>
      </c:txPr>
    </c:legend>
    <c:plotVisOnly val="1"/>
  </c:chart>
  <c:externalData r:id="rId1"/>
</c:chartSpace>
</file>

<file path=word/charts/chart57.xml><?xml version="1.0" encoding="utf-8"?>
<c:chartSpace xmlns:c="http://schemas.openxmlformats.org/drawingml/2006/chart" xmlns:a="http://schemas.openxmlformats.org/drawingml/2006/main" xmlns:r="http://schemas.openxmlformats.org/officeDocument/2006/relationships">
  <c:lang val="en-GB"/>
  <c:chart>
    <c:title>
      <c:tx>
        <c:strRef>
          <c:f>Sheet1!$Q$176</c:f>
          <c:strCache>
            <c:ptCount val="1"/>
            <c:pt idx="0">
              <c:v>Motor vehicle traffic (vehicle miles per head of population)</c:v>
            </c:pt>
          </c:strCache>
        </c:strRef>
      </c:tx>
      <c:txPr>
        <a:bodyPr/>
        <a:lstStyle/>
        <a:p>
          <a:pPr>
            <a:defRPr sz="800">
              <a:latin typeface="Segoe UI" pitchFamily="34" charset="0"/>
              <a:cs typeface="Segoe UI" pitchFamily="34" charset="0"/>
            </a:defRPr>
          </a:pPr>
          <a:endParaRPr lang="en-US"/>
        </a:p>
      </c:txPr>
    </c:title>
    <c:plotArea>
      <c:layout/>
      <c:barChart>
        <c:barDir val="col"/>
        <c:grouping val="clustered"/>
        <c:ser>
          <c:idx val="3"/>
          <c:order val="3"/>
          <c:tx>
            <c:strRef>
              <c:f>Sheet1!$Q$180</c:f>
              <c:strCache>
                <c:ptCount val="1"/>
                <c:pt idx="0">
                  <c:v>Cheshire East</c:v>
                </c:pt>
              </c:strCache>
            </c:strRef>
          </c:tx>
          <c:spPr>
            <a:solidFill>
              <a:schemeClr val="tx1"/>
            </a:solidFill>
          </c:spPr>
          <c:val>
            <c:numRef>
              <c:f>Sheet1!$R$180:$V$180</c:f>
              <c:numCache>
                <c:formatCode>General</c:formatCode>
                <c:ptCount val="5"/>
                <c:pt idx="0">
                  <c:v>7352.6449918497919</c:v>
                </c:pt>
                <c:pt idx="1">
                  <c:v>7364.492796362525</c:v>
                </c:pt>
                <c:pt idx="2">
                  <c:v>7632.0187076555103</c:v>
                </c:pt>
                <c:pt idx="3">
                  <c:v>7622.6571773811493</c:v>
                </c:pt>
                <c:pt idx="4">
                  <c:v>7633.1224506563722</c:v>
                </c:pt>
              </c:numCache>
            </c:numRef>
          </c:val>
        </c:ser>
        <c:axId val="154900352"/>
        <c:axId val="154901888"/>
      </c:barChart>
      <c:lineChart>
        <c:grouping val="standard"/>
        <c:ser>
          <c:idx val="0"/>
          <c:order val="0"/>
          <c:tx>
            <c:strRef>
              <c:f>Sheet1!$Q$177</c:f>
              <c:strCache>
                <c:ptCount val="1"/>
                <c:pt idx="0">
                  <c:v>Predominantly Rural average</c:v>
                </c:pt>
              </c:strCache>
            </c:strRef>
          </c:tx>
          <c:spPr>
            <a:ln w="25400">
              <a:solidFill>
                <a:schemeClr val="bg1">
                  <a:lumMod val="75000"/>
                </a:schemeClr>
              </a:solidFill>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Sheet1!$R$177:$V$177</c:f>
              <c:numCache>
                <c:formatCode>General</c:formatCode>
                <c:ptCount val="5"/>
                <c:pt idx="0">
                  <c:v>6046.1148483450106</c:v>
                </c:pt>
                <c:pt idx="1">
                  <c:v>6086.0762997726633</c:v>
                </c:pt>
                <c:pt idx="2">
                  <c:v>6197.0944759948761</c:v>
                </c:pt>
                <c:pt idx="3">
                  <c:v>6293.2101676105158</c:v>
                </c:pt>
                <c:pt idx="4">
                  <c:v>6402.9069423008605</c:v>
                </c:pt>
              </c:numCache>
            </c:numRef>
          </c:val>
        </c:ser>
        <c:ser>
          <c:idx val="1"/>
          <c:order val="1"/>
          <c:tx>
            <c:strRef>
              <c:f>Sheet1!$Q$178</c:f>
              <c:strCache>
                <c:ptCount val="1"/>
                <c:pt idx="0">
                  <c:v>Predominantly Urban average</c:v>
                </c:pt>
              </c:strCache>
            </c:strRef>
          </c:tx>
          <c:spPr>
            <a:ln w="25400">
              <a:solidFill>
                <a:schemeClr val="accent6">
                  <a:lumMod val="75000"/>
                </a:schemeClr>
              </a:solidFill>
              <a:prstDash val="sysDash"/>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Sheet1!$R$178:$V$178</c:f>
              <c:numCache>
                <c:formatCode>General</c:formatCode>
                <c:ptCount val="5"/>
                <c:pt idx="0">
                  <c:v>3811.7667006883617</c:v>
                </c:pt>
                <c:pt idx="1">
                  <c:v>3776.7483995031757</c:v>
                </c:pt>
                <c:pt idx="2">
                  <c:v>3836.3106711409268</c:v>
                </c:pt>
                <c:pt idx="3">
                  <c:v>3842.4564727545512</c:v>
                </c:pt>
                <c:pt idx="4">
                  <c:v>3882.2802241691484</c:v>
                </c:pt>
              </c:numCache>
            </c:numRef>
          </c:val>
        </c:ser>
        <c:ser>
          <c:idx val="2"/>
          <c:order val="2"/>
          <c:tx>
            <c:strRef>
              <c:f>Sheet1!$Q$179</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Sheet1!$R$179:$V$179</c:f>
              <c:numCache>
                <c:formatCode>General</c:formatCode>
                <c:ptCount val="5"/>
                <c:pt idx="0">
                  <c:v>4832.5100959939718</c:v>
                </c:pt>
                <c:pt idx="1">
                  <c:v>4818.0570408632057</c:v>
                </c:pt>
                <c:pt idx="2">
                  <c:v>4915.0885724170494</c:v>
                </c:pt>
                <c:pt idx="3">
                  <c:v>4956.6048332112741</c:v>
                </c:pt>
                <c:pt idx="4">
                  <c:v>5024.0730533487585</c:v>
                </c:pt>
              </c:numCache>
            </c:numRef>
          </c:val>
        </c:ser>
        <c:marker val="1"/>
        <c:axId val="154900352"/>
        <c:axId val="154901888"/>
      </c:lineChart>
      <c:catAx>
        <c:axId val="154900352"/>
        <c:scaling>
          <c:orientation val="minMax"/>
        </c:scaling>
        <c:axPos val="b"/>
        <c:tickLblPos val="nextTo"/>
        <c:crossAx val="154901888"/>
        <c:crosses val="autoZero"/>
        <c:auto val="1"/>
        <c:lblAlgn val="ctr"/>
        <c:lblOffset val="100"/>
      </c:catAx>
      <c:valAx>
        <c:axId val="154901888"/>
        <c:scaling>
          <c:orientation val="minMax"/>
        </c:scaling>
        <c:axPos val="l"/>
        <c:majorGridlines/>
        <c:title>
          <c:tx>
            <c:strRef>
              <c:f>Sheet1!$R$175</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900352"/>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58.xml><?xml version="1.0" encoding="utf-8"?>
<c:chartSpace xmlns:c="http://schemas.openxmlformats.org/drawingml/2006/chart" xmlns:a="http://schemas.openxmlformats.org/drawingml/2006/main" xmlns:r="http://schemas.openxmlformats.org/officeDocument/2006/relationships">
  <c:date1904 val="1"/>
  <c:lang val="en-GB"/>
  <c:chart>
    <c:title>
      <c:tx>
        <c:strRef>
          <c:f>Sheet1!$C$375</c:f>
          <c:strCache>
            <c:ptCount val="1"/>
            <c:pt idx="0">
              <c:v>Car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Sheet1!$C$379</c:f>
              <c:strCache>
                <c:ptCount val="1"/>
                <c:pt idx="0">
                  <c:v>Cheshire East</c:v>
                </c:pt>
              </c:strCache>
            </c:strRef>
          </c:tx>
          <c:spPr>
            <a:ln w="25400">
              <a:solidFill>
                <a:schemeClr val="tx1"/>
              </a:solidFill>
            </a:ln>
          </c:spPr>
          <c:marker>
            <c:symbol val="none"/>
          </c:marker>
          <c:cat>
            <c:numRef>
              <c:f>Sheet1!$D$375:$H$375</c:f>
              <c:numCache>
                <c:formatCode>General</c:formatCode>
                <c:ptCount val="5"/>
                <c:pt idx="0">
                  <c:v>2012</c:v>
                </c:pt>
                <c:pt idx="1">
                  <c:v>2013</c:v>
                </c:pt>
                <c:pt idx="2">
                  <c:v>2014</c:v>
                </c:pt>
                <c:pt idx="3">
                  <c:v>2015</c:v>
                </c:pt>
                <c:pt idx="4">
                  <c:v>2016</c:v>
                </c:pt>
              </c:numCache>
            </c:numRef>
          </c:cat>
          <c:val>
            <c:numRef>
              <c:f>Sheet1!$D$379:$H$379</c:f>
              <c:numCache>
                <c:formatCode>General</c:formatCode>
                <c:ptCount val="5"/>
                <c:pt idx="0">
                  <c:v>2173</c:v>
                </c:pt>
                <c:pt idx="1">
                  <c:v>2167</c:v>
                </c:pt>
                <c:pt idx="2">
                  <c:v>2253</c:v>
                </c:pt>
                <c:pt idx="3">
                  <c:v>2223</c:v>
                </c:pt>
                <c:pt idx="4">
                  <c:v>2237</c:v>
                </c:pt>
              </c:numCache>
            </c:numRef>
          </c:val>
        </c:ser>
        <c:marker val="1"/>
        <c:axId val="154935296"/>
        <c:axId val="154936832"/>
      </c:lineChart>
      <c:catAx>
        <c:axId val="154935296"/>
        <c:scaling>
          <c:orientation val="minMax"/>
        </c:scaling>
        <c:axPos val="b"/>
        <c:numFmt formatCode="General" sourceLinked="1"/>
        <c:tickLblPos val="nextTo"/>
        <c:crossAx val="154936832"/>
        <c:crosses val="autoZero"/>
        <c:auto val="1"/>
        <c:lblAlgn val="ctr"/>
        <c:lblOffset val="100"/>
      </c:catAx>
      <c:valAx>
        <c:axId val="154936832"/>
        <c:scaling>
          <c:orientation val="minMax"/>
        </c:scaling>
        <c:axPos val="l"/>
        <c:majorGridlines/>
        <c:title>
          <c:tx>
            <c:strRef>
              <c:f>Sheet1!$D$374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935296"/>
        <c:crosses val="autoZero"/>
        <c:crossBetween val="between"/>
      </c:valAx>
    </c:plotArea>
    <c:legend>
      <c:legendPos val="r"/>
      <c:txPr>
        <a:bodyPr/>
        <a:lstStyle/>
        <a:p>
          <a:pPr>
            <a:defRPr sz="900"/>
          </a:pPr>
          <a:endParaRPr lang="en-US"/>
        </a:p>
      </c:txPr>
    </c:legend>
    <c:plotVisOnly val="1"/>
  </c:chart>
  <c:externalData r:id="rId1"/>
</c:chartSpace>
</file>

<file path=word/charts/chart59.xml><?xml version="1.0" encoding="utf-8"?>
<c:chartSpace xmlns:c="http://schemas.openxmlformats.org/drawingml/2006/chart" xmlns:a="http://schemas.openxmlformats.org/drawingml/2006/main" xmlns:r="http://schemas.openxmlformats.org/officeDocument/2006/relationships">
  <c:lang val="en-GB"/>
  <c:chart>
    <c:title>
      <c:tx>
        <c:strRef>
          <c:f>Sheet1!$Q$375</c:f>
          <c:strCache>
            <c:ptCount val="1"/>
            <c:pt idx="0">
              <c:v>Car vehicle traffic (vehicle miles per head of population)</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Sheet1!$Q$379</c:f>
              <c:strCache>
                <c:ptCount val="1"/>
                <c:pt idx="0">
                  <c:v>Cheshire East</c:v>
                </c:pt>
              </c:strCache>
            </c:strRef>
          </c:tx>
          <c:spPr>
            <a:solidFill>
              <a:schemeClr val="tx1"/>
            </a:solidFill>
          </c:spPr>
          <c:cat>
            <c:numRef>
              <c:f>Sheet1!$R$375:$V$375</c:f>
              <c:numCache>
                <c:formatCode>General</c:formatCode>
                <c:ptCount val="5"/>
                <c:pt idx="0">
                  <c:v>2012</c:v>
                </c:pt>
                <c:pt idx="1">
                  <c:v>2013</c:v>
                </c:pt>
                <c:pt idx="2">
                  <c:v>2014</c:v>
                </c:pt>
                <c:pt idx="3">
                  <c:v>2015</c:v>
                </c:pt>
                <c:pt idx="4">
                  <c:v>2016</c:v>
                </c:pt>
              </c:numCache>
            </c:numRef>
          </c:cat>
          <c:val>
            <c:numRef>
              <c:f>Sheet1!$R$379:$V$379</c:f>
              <c:numCache>
                <c:formatCode>General</c:formatCode>
                <c:ptCount val="5"/>
                <c:pt idx="0">
                  <c:v>5835.3899077025535</c:v>
                </c:pt>
                <c:pt idx="1">
                  <c:v>5809.55802319534</c:v>
                </c:pt>
                <c:pt idx="2">
                  <c:v>6014.3190445428027</c:v>
                </c:pt>
                <c:pt idx="3">
                  <c:v>5916.6085563262195</c:v>
                </c:pt>
                <c:pt idx="4">
                  <c:v>5928.9218479577421</c:v>
                </c:pt>
              </c:numCache>
            </c:numRef>
          </c:val>
        </c:ser>
        <c:axId val="154981120"/>
        <c:axId val="154982656"/>
      </c:barChart>
      <c:lineChart>
        <c:grouping val="standard"/>
        <c:ser>
          <c:idx val="0"/>
          <c:order val="0"/>
          <c:tx>
            <c:strRef>
              <c:f>Sheet1!$Q$376</c:f>
              <c:strCache>
                <c:ptCount val="1"/>
                <c:pt idx="0">
                  <c:v>Predominantly Rural average</c:v>
                </c:pt>
              </c:strCache>
            </c:strRef>
          </c:tx>
          <c:spPr>
            <a:ln w="25400">
              <a:solidFill>
                <a:schemeClr val="bg1">
                  <a:lumMod val="75000"/>
                </a:schemeClr>
              </a:solidFill>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Sheet1!$R$376:$V$376</c:f>
              <c:numCache>
                <c:formatCode>General</c:formatCode>
                <c:ptCount val="5"/>
                <c:pt idx="0">
                  <c:v>4713.7153011759792</c:v>
                </c:pt>
                <c:pt idx="1">
                  <c:v>4724.1366585373344</c:v>
                </c:pt>
                <c:pt idx="2">
                  <c:v>4789.3435393026548</c:v>
                </c:pt>
                <c:pt idx="3">
                  <c:v>4827.2398093495622</c:v>
                </c:pt>
                <c:pt idx="4">
                  <c:v>4898.1674382201991</c:v>
                </c:pt>
              </c:numCache>
            </c:numRef>
          </c:val>
        </c:ser>
        <c:ser>
          <c:idx val="1"/>
          <c:order val="1"/>
          <c:tx>
            <c:strRef>
              <c:f>Sheet1!$Q$377</c:f>
              <c:strCache>
                <c:ptCount val="1"/>
                <c:pt idx="0">
                  <c:v>Predominantly Urban average</c:v>
                </c:pt>
              </c:strCache>
            </c:strRef>
          </c:tx>
          <c:spPr>
            <a:ln w="25400">
              <a:solidFill>
                <a:schemeClr val="accent6">
                  <a:lumMod val="75000"/>
                </a:schemeClr>
              </a:solidFill>
              <a:prstDash val="sysDash"/>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Sheet1!$R$377:$V$377</c:f>
              <c:numCache>
                <c:formatCode>General</c:formatCode>
                <c:ptCount val="5"/>
                <c:pt idx="0">
                  <c:v>3068.8377094066645</c:v>
                </c:pt>
                <c:pt idx="1">
                  <c:v>3028.2813919836517</c:v>
                </c:pt>
                <c:pt idx="2">
                  <c:v>3057.3155548698851</c:v>
                </c:pt>
                <c:pt idx="3">
                  <c:v>3050.8708260952349</c:v>
                </c:pt>
                <c:pt idx="4">
                  <c:v>3079.1184299296328</c:v>
                </c:pt>
              </c:numCache>
            </c:numRef>
          </c:val>
        </c:ser>
        <c:ser>
          <c:idx val="2"/>
          <c:order val="2"/>
          <c:tx>
            <c:strRef>
              <c:f>Sheet1!$Q$378</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Sheet1!$R$378:$V$378</c:f>
              <c:numCache>
                <c:formatCode>General</c:formatCode>
                <c:ptCount val="5"/>
                <c:pt idx="0">
                  <c:v>3869.2195913200298</c:v>
                </c:pt>
                <c:pt idx="1">
                  <c:v>3839.6068086258333</c:v>
                </c:pt>
                <c:pt idx="2">
                  <c:v>3899.0993141223562</c:v>
                </c:pt>
                <c:pt idx="3">
                  <c:v>3910.1908652337397</c:v>
                </c:pt>
                <c:pt idx="4">
                  <c:v>3958.5366346684755</c:v>
                </c:pt>
              </c:numCache>
            </c:numRef>
          </c:val>
        </c:ser>
        <c:marker val="1"/>
        <c:axId val="154981120"/>
        <c:axId val="154982656"/>
      </c:lineChart>
      <c:catAx>
        <c:axId val="154981120"/>
        <c:scaling>
          <c:orientation val="minMax"/>
        </c:scaling>
        <c:axPos val="b"/>
        <c:numFmt formatCode="General" sourceLinked="1"/>
        <c:tickLblPos val="nextTo"/>
        <c:crossAx val="154982656"/>
        <c:crosses val="autoZero"/>
        <c:auto val="1"/>
        <c:lblAlgn val="ctr"/>
        <c:lblOffset val="100"/>
      </c:catAx>
      <c:valAx>
        <c:axId val="154982656"/>
        <c:scaling>
          <c:orientation val="minMax"/>
        </c:scaling>
        <c:axPos val="l"/>
        <c:majorGridlines/>
        <c:title>
          <c:tx>
            <c:strRef>
              <c:f>Sheet1!$R$374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4981120"/>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GB"/>
  <c:chart>
    <c:title>
      <c:tx>
        <c:strRef>
          <c:f>Sheet1!$BI$379</c:f>
          <c:strCache>
            <c:ptCount val="1"/>
            <c:pt idx="0">
              <c:v>Travel time to nearest employment centre with 500 to 4999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Sheet1!$BI$380</c:f>
              <c:strCache>
                <c:ptCount val="1"/>
                <c:pt idx="0">
                  <c:v>Predominantly Rural average</c:v>
                </c:pt>
              </c:strCache>
            </c:strRef>
          </c:tx>
          <c:spPr>
            <a:ln w="25400">
              <a:solidFill>
                <a:schemeClr val="bg1">
                  <a:lumMod val="65000"/>
                </a:schemeClr>
              </a:solidFill>
            </a:ln>
          </c:spPr>
          <c:marker>
            <c:symbol val="none"/>
          </c:marker>
          <c:cat>
            <c:numRef>
              <c:f>Sheet1!$BJ$379:$BL$379</c:f>
              <c:numCache>
                <c:formatCode>General</c:formatCode>
                <c:ptCount val="3"/>
                <c:pt idx="0">
                  <c:v>2014</c:v>
                </c:pt>
                <c:pt idx="1">
                  <c:v>2015</c:v>
                </c:pt>
                <c:pt idx="2">
                  <c:v>2016</c:v>
                </c:pt>
              </c:numCache>
            </c:numRef>
          </c:cat>
          <c:val>
            <c:numRef>
              <c:f>Sheet1!$BJ$380:$BL$380</c:f>
              <c:numCache>
                <c:formatCode>General</c:formatCode>
                <c:ptCount val="3"/>
                <c:pt idx="0">
                  <c:v>9.7739404786540014</c:v>
                </c:pt>
                <c:pt idx="1">
                  <c:v>9.7104394377003569</c:v>
                </c:pt>
                <c:pt idx="2">
                  <c:v>9.922267401144758</c:v>
                </c:pt>
              </c:numCache>
            </c:numRef>
          </c:val>
        </c:ser>
        <c:ser>
          <c:idx val="2"/>
          <c:order val="1"/>
          <c:tx>
            <c:strRef>
              <c:f>Sheet1!$BI$381</c:f>
              <c:strCache>
                <c:ptCount val="1"/>
                <c:pt idx="0">
                  <c:v>Predominantly Urban average</c:v>
                </c:pt>
              </c:strCache>
            </c:strRef>
          </c:tx>
          <c:spPr>
            <a:ln w="25400">
              <a:solidFill>
                <a:schemeClr val="accent6">
                  <a:lumMod val="75000"/>
                </a:schemeClr>
              </a:solidFill>
              <a:prstDash val="sysDash"/>
            </a:ln>
          </c:spPr>
          <c:marker>
            <c:symbol val="none"/>
          </c:marker>
          <c:cat>
            <c:numRef>
              <c:f>Sheet1!$BJ$379:$BL$379</c:f>
              <c:numCache>
                <c:formatCode>General</c:formatCode>
                <c:ptCount val="3"/>
                <c:pt idx="0">
                  <c:v>2014</c:v>
                </c:pt>
                <c:pt idx="1">
                  <c:v>2015</c:v>
                </c:pt>
                <c:pt idx="2">
                  <c:v>2016</c:v>
                </c:pt>
              </c:numCache>
            </c:numRef>
          </c:cat>
          <c:val>
            <c:numRef>
              <c:f>Sheet1!$BJ$381:$BL$381</c:f>
              <c:numCache>
                <c:formatCode>General</c:formatCode>
                <c:ptCount val="3"/>
                <c:pt idx="0">
                  <c:v>8.0680469865790947</c:v>
                </c:pt>
                <c:pt idx="1">
                  <c:v>7.9071815740777414</c:v>
                </c:pt>
                <c:pt idx="2">
                  <c:v>8.2174092022102396</c:v>
                </c:pt>
              </c:numCache>
            </c:numRef>
          </c:val>
        </c:ser>
        <c:ser>
          <c:idx val="3"/>
          <c:order val="2"/>
          <c:tx>
            <c:strRef>
              <c:f>Sheet1!$BI$382</c:f>
              <c:strCache>
                <c:ptCount val="1"/>
                <c:pt idx="0">
                  <c:v>Unitary Authority average</c:v>
                </c:pt>
              </c:strCache>
            </c:strRef>
          </c:tx>
          <c:spPr>
            <a:ln w="25400">
              <a:solidFill>
                <a:schemeClr val="accent1">
                  <a:lumMod val="40000"/>
                  <a:lumOff val="60000"/>
                </a:schemeClr>
              </a:solidFill>
              <a:prstDash val="sysDot"/>
            </a:ln>
          </c:spPr>
          <c:marker>
            <c:symbol val="none"/>
          </c:marker>
          <c:cat>
            <c:numRef>
              <c:f>Sheet1!$BJ$379:$BL$379</c:f>
              <c:numCache>
                <c:formatCode>General</c:formatCode>
                <c:ptCount val="3"/>
                <c:pt idx="0">
                  <c:v>2014</c:v>
                </c:pt>
                <c:pt idx="1">
                  <c:v>2015</c:v>
                </c:pt>
                <c:pt idx="2">
                  <c:v>2016</c:v>
                </c:pt>
              </c:numCache>
            </c:numRef>
          </c:cat>
          <c:val>
            <c:numRef>
              <c:f>Sheet1!$BJ$382:$BL$382</c:f>
              <c:numCache>
                <c:formatCode>General</c:formatCode>
                <c:ptCount val="3"/>
                <c:pt idx="0">
                  <c:v>8.5262822867382742</c:v>
                </c:pt>
                <c:pt idx="1">
                  <c:v>8.3711394795704628</c:v>
                </c:pt>
                <c:pt idx="2">
                  <c:v>8.6900868934172077</c:v>
                </c:pt>
              </c:numCache>
            </c:numRef>
          </c:val>
        </c:ser>
        <c:ser>
          <c:idx val="4"/>
          <c:order val="3"/>
          <c:tx>
            <c:strRef>
              <c:f>Sheet1!$BI$383</c:f>
              <c:strCache>
                <c:ptCount val="1"/>
                <c:pt idx="0">
                  <c:v>Cheshire East</c:v>
                </c:pt>
              </c:strCache>
            </c:strRef>
          </c:tx>
          <c:spPr>
            <a:ln w="25400">
              <a:solidFill>
                <a:schemeClr val="tx1"/>
              </a:solidFill>
            </a:ln>
          </c:spPr>
          <c:marker>
            <c:symbol val="none"/>
          </c:marker>
          <c:cat>
            <c:numRef>
              <c:f>Sheet1!$BJ$379:$BL$379</c:f>
              <c:numCache>
                <c:formatCode>General</c:formatCode>
                <c:ptCount val="3"/>
                <c:pt idx="0">
                  <c:v>2014</c:v>
                </c:pt>
                <c:pt idx="1">
                  <c:v>2015</c:v>
                </c:pt>
                <c:pt idx="2">
                  <c:v>2016</c:v>
                </c:pt>
              </c:numCache>
            </c:numRef>
          </c:cat>
          <c:val>
            <c:numRef>
              <c:f>Sheet1!$BJ$383:$BL$383</c:f>
              <c:numCache>
                <c:formatCode>General</c:formatCode>
                <c:ptCount val="3"/>
                <c:pt idx="0">
                  <c:v>8.5084071284602203</c:v>
                </c:pt>
                <c:pt idx="1">
                  <c:v>8.3548440563464528</c:v>
                </c:pt>
                <c:pt idx="2">
                  <c:v>8.6624237103637807</c:v>
                </c:pt>
              </c:numCache>
            </c:numRef>
          </c:val>
        </c:ser>
        <c:marker val="1"/>
        <c:axId val="152475136"/>
        <c:axId val="152476672"/>
      </c:lineChart>
      <c:catAx>
        <c:axId val="152475136"/>
        <c:scaling>
          <c:orientation val="minMax"/>
        </c:scaling>
        <c:axPos val="b"/>
        <c:numFmt formatCode="General" sourceLinked="1"/>
        <c:tickLblPos val="nextTo"/>
        <c:crossAx val="152476672"/>
        <c:crosses val="autoZero"/>
        <c:auto val="1"/>
        <c:lblAlgn val="ctr"/>
        <c:lblOffset val="100"/>
      </c:catAx>
      <c:valAx>
        <c:axId val="152476672"/>
        <c:scaling>
          <c:orientation val="minMax"/>
        </c:scaling>
        <c:axPos val="l"/>
        <c:majorGridlines/>
        <c:title>
          <c:tx>
            <c:strRef>
              <c:f>Sheet1!$BI$384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2475136"/>
        <c:crosses val="autoZero"/>
        <c:crossBetween val="between"/>
      </c:valAx>
    </c:plotArea>
    <c:legend>
      <c:legendPos val="r"/>
      <c:txPr>
        <a:bodyPr/>
        <a:lstStyle/>
        <a:p>
          <a:pPr>
            <a:defRPr sz="800"/>
          </a:pPr>
          <a:endParaRPr lang="en-US"/>
        </a:p>
      </c:txPr>
    </c:legend>
    <c:plotVisOnly val="1"/>
  </c:chart>
  <c:externalData r:id="rId1"/>
</c:chartSpace>
</file>

<file path=word/charts/chart60.xml><?xml version="1.0" encoding="utf-8"?>
<c:chartSpace xmlns:c="http://schemas.openxmlformats.org/drawingml/2006/chart" xmlns:a="http://schemas.openxmlformats.org/drawingml/2006/main" xmlns:r="http://schemas.openxmlformats.org/officeDocument/2006/relationships">
  <c:lang val="en-GB"/>
  <c:chart>
    <c:title>
      <c:tx>
        <c:strRef>
          <c:f>Sheet1!$C$575</c:f>
          <c:strCache>
            <c:ptCount val="1"/>
            <c:pt idx="0">
              <c:v>Motor vehicle traffic (vehicle miles) excluding trunk roads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Sheet1!$C$579</c:f>
              <c:strCache>
                <c:ptCount val="1"/>
                <c:pt idx="0">
                  <c:v>Cheshire East</c:v>
                </c:pt>
              </c:strCache>
            </c:strRef>
          </c:tx>
          <c:spPr>
            <a:ln w="25400">
              <a:solidFill>
                <a:schemeClr val="tx1"/>
              </a:solidFill>
            </a:ln>
          </c:spPr>
          <c:marker>
            <c:symbol val="none"/>
          </c:marker>
          <c:cat>
            <c:numRef>
              <c:f>Sheet1!$D$575:$H$575</c:f>
              <c:numCache>
                <c:formatCode>General</c:formatCode>
                <c:ptCount val="5"/>
                <c:pt idx="0">
                  <c:v>2012</c:v>
                </c:pt>
                <c:pt idx="1">
                  <c:v>2013</c:v>
                </c:pt>
                <c:pt idx="2">
                  <c:v>2014</c:v>
                </c:pt>
                <c:pt idx="3">
                  <c:v>2015</c:v>
                </c:pt>
                <c:pt idx="4">
                  <c:v>2016</c:v>
                </c:pt>
              </c:numCache>
            </c:numRef>
          </c:cat>
          <c:val>
            <c:numRef>
              <c:f>Sheet1!$D$579:$H$579</c:f>
              <c:numCache>
                <c:formatCode>General</c:formatCode>
                <c:ptCount val="5"/>
                <c:pt idx="0">
                  <c:v>1574</c:v>
                </c:pt>
                <c:pt idx="1">
                  <c:v>1563</c:v>
                </c:pt>
                <c:pt idx="2">
                  <c:v>1614</c:v>
                </c:pt>
                <c:pt idx="3">
                  <c:v>1617</c:v>
                </c:pt>
                <c:pt idx="4">
                  <c:v>1667</c:v>
                </c:pt>
              </c:numCache>
            </c:numRef>
          </c:val>
        </c:ser>
        <c:marker val="1"/>
        <c:axId val="155015808"/>
        <c:axId val="155021696"/>
      </c:lineChart>
      <c:catAx>
        <c:axId val="155015808"/>
        <c:scaling>
          <c:orientation val="minMax"/>
        </c:scaling>
        <c:axPos val="b"/>
        <c:numFmt formatCode="General" sourceLinked="1"/>
        <c:tickLblPos val="nextTo"/>
        <c:crossAx val="155021696"/>
        <c:crosses val="autoZero"/>
        <c:auto val="1"/>
        <c:lblAlgn val="ctr"/>
        <c:lblOffset val="100"/>
      </c:catAx>
      <c:valAx>
        <c:axId val="155021696"/>
        <c:scaling>
          <c:orientation val="minMax"/>
        </c:scaling>
        <c:axPos val="l"/>
        <c:majorGridlines/>
        <c:title>
          <c:tx>
            <c:strRef>
              <c:f>Sheet1!$D$574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015808"/>
        <c:crosses val="autoZero"/>
        <c:crossBetween val="between"/>
      </c:valAx>
    </c:plotArea>
    <c:legend>
      <c:legendPos val="r"/>
      <c:txPr>
        <a:bodyPr/>
        <a:lstStyle/>
        <a:p>
          <a:pPr>
            <a:defRPr sz="900"/>
          </a:pPr>
          <a:endParaRPr lang="en-US"/>
        </a:p>
      </c:txPr>
    </c:legend>
    <c:plotVisOnly val="1"/>
  </c:chart>
  <c:externalData r:id="rId1"/>
</c:chartSpace>
</file>

<file path=word/charts/chart61.xml><?xml version="1.0" encoding="utf-8"?>
<c:chartSpace xmlns:c="http://schemas.openxmlformats.org/drawingml/2006/chart" xmlns:a="http://schemas.openxmlformats.org/drawingml/2006/main" xmlns:r="http://schemas.openxmlformats.org/officeDocument/2006/relationships">
  <c:lang val="en-GB"/>
  <c:chart>
    <c:title>
      <c:tx>
        <c:strRef>
          <c:f>Sheet1!$Q$575</c:f>
          <c:strCache>
            <c:ptCount val="1"/>
            <c:pt idx="0">
              <c:v>Motor vehicle traffic (vehicle miles per head of population) excluding trunk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Sheet1!$Q$579</c:f>
              <c:strCache>
                <c:ptCount val="1"/>
                <c:pt idx="0">
                  <c:v>Cheshire East</c:v>
                </c:pt>
              </c:strCache>
            </c:strRef>
          </c:tx>
          <c:spPr>
            <a:solidFill>
              <a:schemeClr val="tx1"/>
            </a:solidFill>
          </c:spPr>
          <c:cat>
            <c:numRef>
              <c:f>Sheet1!$R$575:$V$575</c:f>
              <c:numCache>
                <c:formatCode>General</c:formatCode>
                <c:ptCount val="5"/>
                <c:pt idx="0">
                  <c:v>2012</c:v>
                </c:pt>
                <c:pt idx="1">
                  <c:v>2013</c:v>
                </c:pt>
                <c:pt idx="2">
                  <c:v>2014</c:v>
                </c:pt>
                <c:pt idx="3">
                  <c:v>2015</c:v>
                </c:pt>
                <c:pt idx="4">
                  <c:v>2016</c:v>
                </c:pt>
              </c:numCache>
            </c:numRef>
          </c:cat>
          <c:val>
            <c:numRef>
              <c:f>Sheet1!$R$579:$V$579</c:f>
              <c:numCache>
                <c:formatCode>General</c:formatCode>
                <c:ptCount val="5"/>
                <c:pt idx="0">
                  <c:v>4226.8309777836257</c:v>
                </c:pt>
                <c:pt idx="1">
                  <c:v>4190.2811214833064</c:v>
                </c:pt>
                <c:pt idx="2">
                  <c:v>4308.5268255180135</c:v>
                </c:pt>
                <c:pt idx="3">
                  <c:v>4303.7139161401219</c:v>
                </c:pt>
                <c:pt idx="4">
                  <c:v>4418.199696265342</c:v>
                </c:pt>
              </c:numCache>
            </c:numRef>
          </c:val>
        </c:ser>
        <c:axId val="155061632"/>
        <c:axId val="155079808"/>
      </c:barChart>
      <c:lineChart>
        <c:grouping val="standard"/>
        <c:ser>
          <c:idx val="0"/>
          <c:order val="0"/>
          <c:tx>
            <c:strRef>
              <c:f>Sheet1!$Q$576</c:f>
              <c:strCache>
                <c:ptCount val="1"/>
                <c:pt idx="0">
                  <c:v>Predominantly Rural average</c:v>
                </c:pt>
              </c:strCache>
            </c:strRef>
          </c:tx>
          <c:spPr>
            <a:ln w="25400">
              <a:solidFill>
                <a:schemeClr val="bg1">
                  <a:lumMod val="75000"/>
                </a:schemeClr>
              </a:solidFill>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Sheet1!$R$576:$V$576</c:f>
              <c:numCache>
                <c:formatCode>General</c:formatCode>
                <c:ptCount val="5"/>
                <c:pt idx="0">
                  <c:v>4102.6645154709749</c:v>
                </c:pt>
                <c:pt idx="1">
                  <c:v>4121.7804862316871</c:v>
                </c:pt>
                <c:pt idx="2">
                  <c:v>4221.7991655041833</c:v>
                </c:pt>
                <c:pt idx="3">
                  <c:v>4268.627512078675</c:v>
                </c:pt>
                <c:pt idx="4">
                  <c:v>4337.3109184784007</c:v>
                </c:pt>
              </c:numCache>
            </c:numRef>
          </c:val>
        </c:ser>
        <c:ser>
          <c:idx val="1"/>
          <c:order val="1"/>
          <c:tx>
            <c:strRef>
              <c:f>Sheet1!$Q$577</c:f>
              <c:strCache>
                <c:ptCount val="1"/>
                <c:pt idx="0">
                  <c:v>Predominantly Urban average</c:v>
                </c:pt>
              </c:strCache>
            </c:strRef>
          </c:tx>
          <c:spPr>
            <a:ln w="25400">
              <a:solidFill>
                <a:schemeClr val="accent6">
                  <a:lumMod val="75000"/>
                </a:schemeClr>
              </a:solidFill>
              <a:prstDash val="sysDash"/>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Sheet1!$R$577:$V$577</c:f>
              <c:numCache>
                <c:formatCode>General</c:formatCode>
                <c:ptCount val="5"/>
                <c:pt idx="0">
                  <c:v>2792.2263514739789</c:v>
                </c:pt>
                <c:pt idx="1">
                  <c:v>2756.8786658849513</c:v>
                </c:pt>
                <c:pt idx="2">
                  <c:v>2795.5389954083462</c:v>
                </c:pt>
                <c:pt idx="3">
                  <c:v>2785.5360635117549</c:v>
                </c:pt>
                <c:pt idx="4">
                  <c:v>2808.6638029550281</c:v>
                </c:pt>
              </c:numCache>
            </c:numRef>
          </c:val>
        </c:ser>
        <c:ser>
          <c:idx val="2"/>
          <c:order val="2"/>
          <c:tx>
            <c:strRef>
              <c:f>Sheet1!$Q$578</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Sheet1!$R$578:$V$578</c:f>
              <c:numCache>
                <c:formatCode>General</c:formatCode>
                <c:ptCount val="5"/>
                <c:pt idx="0">
                  <c:v>3326.2114721689086</c:v>
                </c:pt>
                <c:pt idx="1">
                  <c:v>3302.5749431877457</c:v>
                </c:pt>
                <c:pt idx="2">
                  <c:v>3374.2065666411254</c:v>
                </c:pt>
                <c:pt idx="3">
                  <c:v>3385.1784741228576</c:v>
                </c:pt>
                <c:pt idx="4">
                  <c:v>3429.6281994941387</c:v>
                </c:pt>
              </c:numCache>
            </c:numRef>
          </c:val>
        </c:ser>
        <c:marker val="1"/>
        <c:axId val="155061632"/>
        <c:axId val="155079808"/>
      </c:lineChart>
      <c:catAx>
        <c:axId val="155061632"/>
        <c:scaling>
          <c:orientation val="minMax"/>
        </c:scaling>
        <c:axPos val="b"/>
        <c:numFmt formatCode="General" sourceLinked="1"/>
        <c:tickLblPos val="nextTo"/>
        <c:crossAx val="155079808"/>
        <c:crosses val="autoZero"/>
        <c:auto val="1"/>
        <c:lblAlgn val="ctr"/>
        <c:lblOffset val="100"/>
      </c:catAx>
      <c:valAx>
        <c:axId val="155079808"/>
        <c:scaling>
          <c:orientation val="minMax"/>
        </c:scaling>
        <c:axPos val="l"/>
        <c:majorGridlines/>
        <c:title>
          <c:tx>
            <c:strRef>
              <c:f>Sheet1!$R$574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061632"/>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2.xml><?xml version="1.0" encoding="utf-8"?>
<c:chartSpace xmlns:c="http://schemas.openxmlformats.org/drawingml/2006/chart" xmlns:a="http://schemas.openxmlformats.org/drawingml/2006/main" xmlns:r="http://schemas.openxmlformats.org/officeDocument/2006/relationships">
  <c:lang val="en-GB"/>
  <c:chart>
    <c:title>
      <c:tx>
        <c:strRef>
          <c:f>Sheet1!$C$775</c:f>
          <c:strCache>
            <c:ptCount val="1"/>
            <c:pt idx="0">
              <c:v>Motor Vehicle Flow, Annual Average Daily Flow</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Sheet1!$C$776</c:f>
              <c:strCache>
                <c:ptCount val="1"/>
                <c:pt idx="0">
                  <c:v>Predominantly Rural average</c:v>
                </c:pt>
              </c:strCache>
            </c:strRef>
          </c:tx>
          <c:spPr>
            <a:ln w="25400">
              <a:solidFill>
                <a:schemeClr val="bg1">
                  <a:lumMod val="75000"/>
                </a:schemeClr>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Sheet1!$D$776:$H$776</c:f>
              <c:numCache>
                <c:formatCode>General</c:formatCode>
                <c:ptCount val="5"/>
                <c:pt idx="0">
                  <c:v>2482.5</c:v>
                </c:pt>
                <c:pt idx="1">
                  <c:v>2517.3500000000013</c:v>
                </c:pt>
                <c:pt idx="2">
                  <c:v>2579.1999999999998</c:v>
                </c:pt>
                <c:pt idx="3">
                  <c:v>2643.65</c:v>
                </c:pt>
                <c:pt idx="4">
                  <c:v>2687.8500000000013</c:v>
                </c:pt>
              </c:numCache>
            </c:numRef>
          </c:val>
        </c:ser>
        <c:ser>
          <c:idx val="1"/>
          <c:order val="1"/>
          <c:tx>
            <c:strRef>
              <c:f>Sheet1!$C$777</c:f>
              <c:strCache>
                <c:ptCount val="1"/>
                <c:pt idx="0">
                  <c:v>Predominantly Urban average</c:v>
                </c:pt>
              </c:strCache>
            </c:strRef>
          </c:tx>
          <c:spPr>
            <a:ln w="25400">
              <a:solidFill>
                <a:schemeClr val="accent6">
                  <a:lumMod val="75000"/>
                </a:schemeClr>
              </a:solidFill>
              <a:prstDash val="sysDash"/>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Sheet1!$D$777:$H$777</c:f>
              <c:numCache>
                <c:formatCode>General</c:formatCode>
                <c:ptCount val="5"/>
                <c:pt idx="0">
                  <c:v>5085.8727272727274</c:v>
                </c:pt>
                <c:pt idx="1">
                  <c:v>5073.2363636363625</c:v>
                </c:pt>
                <c:pt idx="2">
                  <c:v>5177.0545454545454</c:v>
                </c:pt>
                <c:pt idx="3">
                  <c:v>5212.954545454545</c:v>
                </c:pt>
                <c:pt idx="4">
                  <c:v>5276.7454545454548</c:v>
                </c:pt>
              </c:numCache>
            </c:numRef>
          </c:val>
        </c:ser>
        <c:ser>
          <c:idx val="2"/>
          <c:order val="2"/>
          <c:tx>
            <c:strRef>
              <c:f>Sheet1!$C$778</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Sheet1!$D$778:$H$778</c:f>
              <c:numCache>
                <c:formatCode>General</c:formatCode>
                <c:ptCount val="5"/>
                <c:pt idx="0">
                  <c:v>4414.8545454545492</c:v>
                </c:pt>
                <c:pt idx="1">
                  <c:v>4411.9636363636391</c:v>
                </c:pt>
                <c:pt idx="2">
                  <c:v>4512.9818181818182</c:v>
                </c:pt>
                <c:pt idx="3">
                  <c:v>4569.9090909090883</c:v>
                </c:pt>
                <c:pt idx="4">
                  <c:v>4633.8545454545492</c:v>
                </c:pt>
              </c:numCache>
            </c:numRef>
          </c:val>
        </c:ser>
        <c:ser>
          <c:idx val="3"/>
          <c:order val="3"/>
          <c:tx>
            <c:strRef>
              <c:f>Sheet1!$C$779</c:f>
              <c:strCache>
                <c:ptCount val="1"/>
                <c:pt idx="0">
                  <c:v>Cheshire East</c:v>
                </c:pt>
              </c:strCache>
            </c:strRef>
          </c:tx>
          <c:spPr>
            <a:ln w="25400">
              <a:solidFill>
                <a:schemeClr val="tx1"/>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Sheet1!$D$779:$H$779</c:f>
              <c:numCache>
                <c:formatCode>General</c:formatCode>
                <c:ptCount val="5"/>
                <c:pt idx="0">
                  <c:v>4217</c:v>
                </c:pt>
                <c:pt idx="1">
                  <c:v>4243</c:v>
                </c:pt>
                <c:pt idx="2">
                  <c:v>4411</c:v>
                </c:pt>
                <c:pt idx="3">
                  <c:v>4427</c:v>
                </c:pt>
                <c:pt idx="4">
                  <c:v>4419</c:v>
                </c:pt>
              </c:numCache>
            </c:numRef>
          </c:val>
        </c:ser>
        <c:marker val="1"/>
        <c:axId val="155111424"/>
        <c:axId val="155112960"/>
      </c:lineChart>
      <c:catAx>
        <c:axId val="155111424"/>
        <c:scaling>
          <c:orientation val="minMax"/>
        </c:scaling>
        <c:axPos val="b"/>
        <c:numFmt formatCode="General" sourceLinked="1"/>
        <c:tickLblPos val="nextTo"/>
        <c:crossAx val="155112960"/>
        <c:crosses val="autoZero"/>
        <c:auto val="1"/>
        <c:lblAlgn val="ctr"/>
        <c:lblOffset val="100"/>
      </c:catAx>
      <c:valAx>
        <c:axId val="155112960"/>
        <c:scaling>
          <c:orientation val="minMax"/>
        </c:scaling>
        <c:axPos val="l"/>
        <c:majorGridlines/>
        <c:title>
          <c:tx>
            <c:strRef>
              <c:f>Sheet1!$D$774</c:f>
              <c:strCache>
                <c:ptCount val="1"/>
                <c:pt idx="0">
                  <c:v> number of vehicles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111424"/>
        <c:crosses val="autoZero"/>
        <c:crossBetween val="between"/>
      </c:valAx>
    </c:plotArea>
    <c:legend>
      <c:legendPos val="r"/>
      <c:txPr>
        <a:bodyPr/>
        <a:lstStyle/>
        <a:p>
          <a:pPr>
            <a:defRPr sz="900"/>
          </a:pPr>
          <a:endParaRPr lang="en-US"/>
        </a:p>
      </c:txPr>
    </c:legend>
    <c:plotVisOnly val="1"/>
  </c:chart>
  <c:externalData r:id="rId1"/>
</c:chartSpace>
</file>

<file path=word/charts/chart63.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Principal (LA maintained 'A'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Sheet1!$C$180</c:f>
              <c:strCache>
                <c:ptCount val="1"/>
                <c:pt idx="0">
                  <c:v>Cheshire East</c:v>
                </c:pt>
              </c:strCache>
            </c:strRef>
          </c:tx>
          <c:spPr>
            <a:solidFill>
              <a:schemeClr val="tx1"/>
            </a:solidFill>
          </c:spPr>
          <c:cat>
            <c:strRef>
              <c:f>Sheet1!$D$176:$H$176</c:f>
              <c:strCache>
                <c:ptCount val="5"/>
                <c:pt idx="0">
                  <c:v>2012/13</c:v>
                </c:pt>
                <c:pt idx="1">
                  <c:v>2013/14</c:v>
                </c:pt>
                <c:pt idx="2">
                  <c:v>2014/15</c:v>
                </c:pt>
                <c:pt idx="3">
                  <c:v>2015/16</c:v>
                </c:pt>
                <c:pt idx="4">
                  <c:v>2016/17</c:v>
                </c:pt>
              </c:strCache>
            </c:strRef>
          </c:cat>
          <c:val>
            <c:numRef>
              <c:f>Sheet1!$D$180:$H$180</c:f>
              <c:numCache>
                <c:formatCode>General</c:formatCode>
                <c:ptCount val="5"/>
                <c:pt idx="0">
                  <c:v>6</c:v>
                </c:pt>
                <c:pt idx="1">
                  <c:v>5</c:v>
                </c:pt>
                <c:pt idx="2">
                  <c:v>3</c:v>
                </c:pt>
                <c:pt idx="3">
                  <c:v>3</c:v>
                </c:pt>
                <c:pt idx="4">
                  <c:v>2</c:v>
                </c:pt>
              </c:numCache>
            </c:numRef>
          </c:val>
        </c:ser>
        <c:axId val="155251456"/>
        <c:axId val="155252992"/>
      </c:barChar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strRef>
              <c:f>Sheet1!$D$176:$H$176</c:f>
              <c:strCache>
                <c:ptCount val="5"/>
                <c:pt idx="0">
                  <c:v>2012/13</c:v>
                </c:pt>
                <c:pt idx="1">
                  <c:v>2013/14</c:v>
                </c:pt>
                <c:pt idx="2">
                  <c:v>2014/15</c:v>
                </c:pt>
                <c:pt idx="3">
                  <c:v>2015/16</c:v>
                </c:pt>
                <c:pt idx="4">
                  <c:v>2016/17</c:v>
                </c:pt>
              </c:strCache>
            </c:strRef>
          </c:cat>
          <c:val>
            <c:numRef>
              <c:f>Sheet1!$D$177:$H$177</c:f>
              <c:numCache>
                <c:formatCode>General</c:formatCode>
                <c:ptCount val="5"/>
                <c:pt idx="0">
                  <c:v>4.3157894736842106</c:v>
                </c:pt>
                <c:pt idx="1">
                  <c:v>3.6315789473684208</c:v>
                </c:pt>
                <c:pt idx="2">
                  <c:v>3.6</c:v>
                </c:pt>
                <c:pt idx="3">
                  <c:v>3.2</c:v>
                </c:pt>
                <c:pt idx="4">
                  <c:v>2.9499999999999997</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strRef>
              <c:f>Sheet1!$D$176:$H$176</c:f>
              <c:strCache>
                <c:ptCount val="5"/>
                <c:pt idx="0">
                  <c:v>2012/13</c:v>
                </c:pt>
                <c:pt idx="1">
                  <c:v>2013/14</c:v>
                </c:pt>
                <c:pt idx="2">
                  <c:v>2014/15</c:v>
                </c:pt>
                <c:pt idx="3">
                  <c:v>2015/16</c:v>
                </c:pt>
                <c:pt idx="4">
                  <c:v>2016/17</c:v>
                </c:pt>
              </c:strCache>
            </c:strRef>
          </c:cat>
          <c:val>
            <c:numRef>
              <c:f>Sheet1!$D$178:$H$178</c:f>
              <c:numCache>
                <c:formatCode>General</c:formatCode>
                <c:ptCount val="5"/>
                <c:pt idx="0">
                  <c:v>6.9711538461538476</c:v>
                </c:pt>
                <c:pt idx="1">
                  <c:v>7.0090909090909088</c:v>
                </c:pt>
                <c:pt idx="2">
                  <c:v>4.4090909090909092</c:v>
                </c:pt>
                <c:pt idx="3">
                  <c:v>4.1834862385321081</c:v>
                </c:pt>
                <c:pt idx="4">
                  <c:v>4.2568807339449544</c:v>
                </c:pt>
              </c:numCache>
            </c:numRef>
          </c:val>
        </c:ser>
        <c:ser>
          <c:idx val="2"/>
          <c:order val="2"/>
          <c:tx>
            <c:strRef>
              <c:f>Sheet1!$C$179</c:f>
              <c:strCache>
                <c:ptCount val="1"/>
                <c:pt idx="0">
                  <c:v>Unitary Authority average</c:v>
                </c:pt>
              </c:strCache>
            </c:strRef>
          </c:tx>
          <c:spPr>
            <a:ln w="25400">
              <a:solidFill>
                <a:schemeClr val="accent1">
                  <a:lumMod val="60000"/>
                  <a:lumOff val="40000"/>
                </a:schemeClr>
              </a:solidFill>
              <a:prstDash val="sysDot"/>
            </a:ln>
          </c:spPr>
          <c:marker>
            <c:symbol val="none"/>
          </c:marker>
          <c:cat>
            <c:strRef>
              <c:f>Sheet1!$D$176:$H$176</c:f>
              <c:strCache>
                <c:ptCount val="5"/>
                <c:pt idx="0">
                  <c:v>2012/13</c:v>
                </c:pt>
                <c:pt idx="1">
                  <c:v>2013/14</c:v>
                </c:pt>
                <c:pt idx="2">
                  <c:v>2014/15</c:v>
                </c:pt>
                <c:pt idx="3">
                  <c:v>2015/16</c:v>
                </c:pt>
                <c:pt idx="4">
                  <c:v>2016/17</c:v>
                </c:pt>
              </c:strCache>
            </c:strRef>
          </c:cat>
          <c:val>
            <c:numRef>
              <c:f>Sheet1!$D$179:$H$179</c:f>
              <c:numCache>
                <c:formatCode>General</c:formatCode>
                <c:ptCount val="5"/>
                <c:pt idx="0">
                  <c:v>4.5686274509803919</c:v>
                </c:pt>
                <c:pt idx="1">
                  <c:v>4.3888888888888875</c:v>
                </c:pt>
                <c:pt idx="2">
                  <c:v>3.8545454545454536</c:v>
                </c:pt>
                <c:pt idx="3">
                  <c:v>3.2592592592592582</c:v>
                </c:pt>
                <c:pt idx="4">
                  <c:v>3.2727272727272747</c:v>
                </c:pt>
              </c:numCache>
            </c:numRef>
          </c:val>
        </c:ser>
        <c:marker val="1"/>
        <c:axId val="155251456"/>
        <c:axId val="155252992"/>
      </c:lineChart>
      <c:catAx>
        <c:axId val="155251456"/>
        <c:scaling>
          <c:orientation val="minMax"/>
        </c:scaling>
        <c:axPos val="b"/>
        <c:tickLblPos val="nextTo"/>
        <c:crossAx val="155252992"/>
        <c:crosses val="autoZero"/>
        <c:auto val="1"/>
        <c:lblAlgn val="ctr"/>
        <c:lblOffset val="100"/>
      </c:catAx>
      <c:valAx>
        <c:axId val="155252992"/>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55251456"/>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4.xml><?xml version="1.0" encoding="utf-8"?>
<c:chartSpace xmlns:c="http://schemas.openxmlformats.org/drawingml/2006/chart" xmlns:a="http://schemas.openxmlformats.org/drawingml/2006/main" xmlns:r="http://schemas.openxmlformats.org/officeDocument/2006/relationships">
  <c:lang val="en-GB"/>
  <c:chart>
    <c:title>
      <c:tx>
        <c:strRef>
          <c:f>Sheet1!$J$176</c:f>
          <c:strCache>
            <c:ptCount val="1"/>
            <c:pt idx="0">
              <c:v>Non-principal (LA maintained 'B' and 'C'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Sheet1!$J$180</c:f>
              <c:strCache>
                <c:ptCount val="1"/>
                <c:pt idx="0">
                  <c:v>Cheshire East</c:v>
                </c:pt>
              </c:strCache>
            </c:strRef>
          </c:tx>
          <c:spPr>
            <a:solidFill>
              <a:schemeClr val="tx1"/>
            </a:solidFill>
          </c:spPr>
          <c:cat>
            <c:strRef>
              <c:f>Sheet1!$K$176:$O$176</c:f>
              <c:strCache>
                <c:ptCount val="5"/>
                <c:pt idx="0">
                  <c:v>2012/13</c:v>
                </c:pt>
                <c:pt idx="1">
                  <c:v>2013/14</c:v>
                </c:pt>
                <c:pt idx="2">
                  <c:v>2014/15</c:v>
                </c:pt>
                <c:pt idx="3">
                  <c:v>2015/16</c:v>
                </c:pt>
                <c:pt idx="4">
                  <c:v>2016/17</c:v>
                </c:pt>
              </c:strCache>
            </c:strRef>
          </c:cat>
          <c:val>
            <c:numRef>
              <c:f>Sheet1!$K$180:$O$180</c:f>
              <c:numCache>
                <c:formatCode>General</c:formatCode>
                <c:ptCount val="5"/>
                <c:pt idx="0">
                  <c:v>11</c:v>
                </c:pt>
                <c:pt idx="1">
                  <c:v>7</c:v>
                </c:pt>
                <c:pt idx="2">
                  <c:v>5</c:v>
                </c:pt>
                <c:pt idx="3">
                  <c:v>5</c:v>
                </c:pt>
                <c:pt idx="4">
                  <c:v>4</c:v>
                </c:pt>
              </c:numCache>
            </c:numRef>
          </c:val>
        </c:ser>
        <c:axId val="155293184"/>
        <c:axId val="155294720"/>
      </c:barChart>
      <c:lineChart>
        <c:grouping val="standard"/>
        <c:ser>
          <c:idx val="0"/>
          <c:order val="0"/>
          <c:tx>
            <c:strRef>
              <c:f>Sheet1!$J$177</c:f>
              <c:strCache>
                <c:ptCount val="1"/>
                <c:pt idx="0">
                  <c:v>Predominantly Rural average</c:v>
                </c:pt>
              </c:strCache>
            </c:strRef>
          </c:tx>
          <c:spPr>
            <a:ln w="25400">
              <a:solidFill>
                <a:schemeClr val="bg1">
                  <a:lumMod val="75000"/>
                </a:schemeClr>
              </a:solidFill>
            </a:ln>
          </c:spPr>
          <c:marker>
            <c:symbol val="none"/>
          </c:marker>
          <c:cat>
            <c:strRef>
              <c:f>Sheet1!$K$176:$O$176</c:f>
              <c:strCache>
                <c:ptCount val="5"/>
                <c:pt idx="0">
                  <c:v>2012/13</c:v>
                </c:pt>
                <c:pt idx="1">
                  <c:v>2013/14</c:v>
                </c:pt>
                <c:pt idx="2">
                  <c:v>2014/15</c:v>
                </c:pt>
                <c:pt idx="3">
                  <c:v>2015/16</c:v>
                </c:pt>
                <c:pt idx="4">
                  <c:v>2016/17</c:v>
                </c:pt>
              </c:strCache>
            </c:strRef>
          </c:cat>
          <c:val>
            <c:numRef>
              <c:f>Sheet1!$K$177:$O$177</c:f>
              <c:numCache>
                <c:formatCode>General</c:formatCode>
                <c:ptCount val="5"/>
                <c:pt idx="0">
                  <c:v>9.5555555555555589</c:v>
                </c:pt>
                <c:pt idx="1">
                  <c:v>8.3684210526315752</c:v>
                </c:pt>
                <c:pt idx="2">
                  <c:v>7.6499999999999995</c:v>
                </c:pt>
                <c:pt idx="3">
                  <c:v>6.4</c:v>
                </c:pt>
                <c:pt idx="4">
                  <c:v>6.4</c:v>
                </c:pt>
              </c:numCache>
            </c:numRef>
          </c:val>
        </c:ser>
        <c:ser>
          <c:idx val="1"/>
          <c:order val="1"/>
          <c:tx>
            <c:strRef>
              <c:f>Sheet1!$J$178</c:f>
              <c:strCache>
                <c:ptCount val="1"/>
                <c:pt idx="0">
                  <c:v>Predominantly Urban average</c:v>
                </c:pt>
              </c:strCache>
            </c:strRef>
          </c:tx>
          <c:spPr>
            <a:ln w="25400">
              <a:solidFill>
                <a:schemeClr val="accent6">
                  <a:lumMod val="75000"/>
                </a:schemeClr>
              </a:solidFill>
              <a:prstDash val="sysDash"/>
            </a:ln>
          </c:spPr>
          <c:marker>
            <c:symbol val="none"/>
          </c:marker>
          <c:cat>
            <c:strRef>
              <c:f>Sheet1!$K$176:$O$176</c:f>
              <c:strCache>
                <c:ptCount val="5"/>
                <c:pt idx="0">
                  <c:v>2012/13</c:v>
                </c:pt>
                <c:pt idx="1">
                  <c:v>2013/14</c:v>
                </c:pt>
                <c:pt idx="2">
                  <c:v>2014/15</c:v>
                </c:pt>
                <c:pt idx="3">
                  <c:v>2015/16</c:v>
                </c:pt>
                <c:pt idx="4">
                  <c:v>2016/17</c:v>
                </c:pt>
              </c:strCache>
            </c:strRef>
          </c:cat>
          <c:val>
            <c:numRef>
              <c:f>Sheet1!$K$178:$O$178</c:f>
              <c:numCache>
                <c:formatCode>General</c:formatCode>
                <c:ptCount val="5"/>
                <c:pt idx="0">
                  <c:v>8.1809523809523768</c:v>
                </c:pt>
                <c:pt idx="1">
                  <c:v>7.8909090909090907</c:v>
                </c:pt>
                <c:pt idx="2">
                  <c:v>6.4587155963302756</c:v>
                </c:pt>
                <c:pt idx="3">
                  <c:v>4.6238532110091741</c:v>
                </c:pt>
                <c:pt idx="4">
                  <c:v>4.5462962962962967</c:v>
                </c:pt>
              </c:numCache>
            </c:numRef>
          </c:val>
        </c:ser>
        <c:ser>
          <c:idx val="2"/>
          <c:order val="2"/>
          <c:tx>
            <c:strRef>
              <c:f>Sheet1!$J$179</c:f>
              <c:strCache>
                <c:ptCount val="1"/>
                <c:pt idx="0">
                  <c:v>Unitary Authority average</c:v>
                </c:pt>
              </c:strCache>
            </c:strRef>
          </c:tx>
          <c:spPr>
            <a:ln w="25400">
              <a:solidFill>
                <a:schemeClr val="accent1">
                  <a:lumMod val="60000"/>
                  <a:lumOff val="40000"/>
                </a:schemeClr>
              </a:solidFill>
              <a:prstDash val="sysDot"/>
            </a:ln>
          </c:spPr>
          <c:marker>
            <c:symbol val="none"/>
          </c:marker>
          <c:cat>
            <c:strRef>
              <c:f>Sheet1!$K$176:$O$176</c:f>
              <c:strCache>
                <c:ptCount val="5"/>
                <c:pt idx="0">
                  <c:v>2012/13</c:v>
                </c:pt>
                <c:pt idx="1">
                  <c:v>2013/14</c:v>
                </c:pt>
                <c:pt idx="2">
                  <c:v>2014/15</c:v>
                </c:pt>
                <c:pt idx="3">
                  <c:v>2015/16</c:v>
                </c:pt>
                <c:pt idx="4">
                  <c:v>2016/17</c:v>
                </c:pt>
              </c:strCache>
            </c:strRef>
          </c:cat>
          <c:val>
            <c:numRef>
              <c:f>Sheet1!$K$179:$O$179</c:f>
              <c:numCache>
                <c:formatCode>General</c:formatCode>
                <c:ptCount val="5"/>
                <c:pt idx="0">
                  <c:v>7.3396226415094361</c:v>
                </c:pt>
                <c:pt idx="1">
                  <c:v>6.5185185185185146</c:v>
                </c:pt>
                <c:pt idx="2">
                  <c:v>5.8909090909090907</c:v>
                </c:pt>
                <c:pt idx="3">
                  <c:v>4.8181818181818157</c:v>
                </c:pt>
                <c:pt idx="4">
                  <c:v>5.127272727272727</c:v>
                </c:pt>
              </c:numCache>
            </c:numRef>
          </c:val>
        </c:ser>
        <c:marker val="1"/>
        <c:axId val="155293184"/>
        <c:axId val="155294720"/>
      </c:lineChart>
      <c:catAx>
        <c:axId val="155293184"/>
        <c:scaling>
          <c:orientation val="minMax"/>
        </c:scaling>
        <c:axPos val="b"/>
        <c:tickLblPos val="nextTo"/>
        <c:crossAx val="155294720"/>
        <c:crosses val="autoZero"/>
        <c:auto val="1"/>
        <c:lblAlgn val="ctr"/>
        <c:lblOffset val="100"/>
      </c:catAx>
      <c:valAx>
        <c:axId val="155294720"/>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55293184"/>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5.xml><?xml version="1.0" encoding="utf-8"?>
<c:chartSpace xmlns:c="http://schemas.openxmlformats.org/drawingml/2006/chart" xmlns:a="http://schemas.openxmlformats.org/drawingml/2006/main" xmlns:r="http://schemas.openxmlformats.org/officeDocument/2006/relationships">
  <c:lang val="en-GB"/>
  <c:chart>
    <c:title>
      <c:tx>
        <c:strRef>
          <c:f>Sheet1!$C$555</c:f>
          <c:strCache>
            <c:ptCount val="1"/>
            <c:pt idx="0">
              <c:v>Unclassified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Sheet1!$C$559</c:f>
              <c:strCache>
                <c:ptCount val="1"/>
                <c:pt idx="0">
                  <c:v>Cheshire East</c:v>
                </c:pt>
              </c:strCache>
            </c:strRef>
          </c:tx>
          <c:spPr>
            <a:solidFill>
              <a:schemeClr val="tx1"/>
            </a:solidFill>
          </c:spPr>
          <c:cat>
            <c:strRef>
              <c:f>Sheet1!$D$555:$H$555</c:f>
              <c:strCache>
                <c:ptCount val="5"/>
                <c:pt idx="0">
                  <c:v>2012/13</c:v>
                </c:pt>
                <c:pt idx="1">
                  <c:v>2013/14</c:v>
                </c:pt>
                <c:pt idx="2">
                  <c:v>2014/15</c:v>
                </c:pt>
                <c:pt idx="3">
                  <c:v>2015/16</c:v>
                </c:pt>
                <c:pt idx="4">
                  <c:v>2016/17</c:v>
                </c:pt>
              </c:strCache>
            </c:strRef>
          </c:cat>
          <c:val>
            <c:numRef>
              <c:f>Sheet1!$D$559:$H$559</c:f>
              <c:numCache>
                <c:formatCode>General</c:formatCode>
                <c:ptCount val="5"/>
                <c:pt idx="0">
                  <c:v>8</c:v>
                </c:pt>
                <c:pt idx="1">
                  <c:v>8</c:v>
                </c:pt>
                <c:pt idx="2">
                  <c:v>8</c:v>
                </c:pt>
                <c:pt idx="3">
                  <c:v>8</c:v>
                </c:pt>
                <c:pt idx="4">
                  <c:v>9</c:v>
                </c:pt>
              </c:numCache>
            </c:numRef>
          </c:val>
        </c:ser>
        <c:axId val="155397120"/>
        <c:axId val="155398912"/>
      </c:barChart>
      <c:lineChart>
        <c:grouping val="standard"/>
        <c:ser>
          <c:idx val="0"/>
          <c:order val="0"/>
          <c:tx>
            <c:strRef>
              <c:f>Sheet1!$C$556</c:f>
              <c:strCache>
                <c:ptCount val="1"/>
                <c:pt idx="0">
                  <c:v>Predominantly Rural average</c:v>
                </c:pt>
              </c:strCache>
            </c:strRef>
          </c:tx>
          <c:spPr>
            <a:ln w="25400">
              <a:solidFill>
                <a:schemeClr val="bg1">
                  <a:lumMod val="75000"/>
                </a:schemeClr>
              </a:solidFill>
            </a:ln>
          </c:spPr>
          <c:marker>
            <c:symbol val="none"/>
          </c:marker>
          <c:cat>
            <c:strRef>
              <c:f>Sheet1!$D$555:$H$555</c:f>
              <c:strCache>
                <c:ptCount val="5"/>
                <c:pt idx="0">
                  <c:v>2012/13</c:v>
                </c:pt>
                <c:pt idx="1">
                  <c:v>2013/14</c:v>
                </c:pt>
                <c:pt idx="2">
                  <c:v>2014/15</c:v>
                </c:pt>
                <c:pt idx="3">
                  <c:v>2015/16</c:v>
                </c:pt>
                <c:pt idx="4">
                  <c:v>2016/17</c:v>
                </c:pt>
              </c:strCache>
            </c:strRef>
          </c:cat>
          <c:val>
            <c:numRef>
              <c:f>Sheet1!$D$556:$H$556</c:f>
              <c:numCache>
                <c:formatCode>General</c:formatCode>
                <c:ptCount val="5"/>
                <c:pt idx="0">
                  <c:v>18</c:v>
                </c:pt>
                <c:pt idx="1">
                  <c:v>19.473684210526301</c:v>
                </c:pt>
                <c:pt idx="2">
                  <c:v>19.15789473684212</c:v>
                </c:pt>
                <c:pt idx="3">
                  <c:v>18.111111111111118</c:v>
                </c:pt>
                <c:pt idx="4">
                  <c:v>17.470588235294116</c:v>
                </c:pt>
              </c:numCache>
            </c:numRef>
          </c:val>
        </c:ser>
        <c:ser>
          <c:idx val="1"/>
          <c:order val="1"/>
          <c:tx>
            <c:strRef>
              <c:f>Sheet1!$C$557</c:f>
              <c:strCache>
                <c:ptCount val="1"/>
                <c:pt idx="0">
                  <c:v>Predominantly Urban average</c:v>
                </c:pt>
              </c:strCache>
            </c:strRef>
          </c:tx>
          <c:spPr>
            <a:ln w="25400">
              <a:solidFill>
                <a:schemeClr val="accent6">
                  <a:lumMod val="75000"/>
                </a:schemeClr>
              </a:solidFill>
              <a:prstDash val="sysDash"/>
            </a:ln>
          </c:spPr>
          <c:marker>
            <c:symbol val="none"/>
          </c:marker>
          <c:cat>
            <c:strRef>
              <c:f>Sheet1!$D$555:$H$555</c:f>
              <c:strCache>
                <c:ptCount val="5"/>
                <c:pt idx="0">
                  <c:v>2012/13</c:v>
                </c:pt>
                <c:pt idx="1">
                  <c:v>2013/14</c:v>
                </c:pt>
                <c:pt idx="2">
                  <c:v>2014/15</c:v>
                </c:pt>
                <c:pt idx="3">
                  <c:v>2015/16</c:v>
                </c:pt>
                <c:pt idx="4">
                  <c:v>2016/17</c:v>
                </c:pt>
              </c:strCache>
            </c:strRef>
          </c:cat>
          <c:val>
            <c:numRef>
              <c:f>Sheet1!$D$557:$H$557</c:f>
              <c:numCache>
                <c:formatCode>General</c:formatCode>
                <c:ptCount val="5"/>
                <c:pt idx="0">
                  <c:v>16.844444444444445</c:v>
                </c:pt>
                <c:pt idx="1">
                  <c:v>16.204301075268816</c:v>
                </c:pt>
                <c:pt idx="2">
                  <c:v>16.051020408163257</c:v>
                </c:pt>
                <c:pt idx="3">
                  <c:v>15.255555555555556</c:v>
                </c:pt>
                <c:pt idx="4">
                  <c:v>15.172043010752692</c:v>
                </c:pt>
              </c:numCache>
            </c:numRef>
          </c:val>
        </c:ser>
        <c:ser>
          <c:idx val="2"/>
          <c:order val="2"/>
          <c:tx>
            <c:strRef>
              <c:f>Sheet1!$C$558</c:f>
              <c:strCache>
                <c:ptCount val="1"/>
                <c:pt idx="0">
                  <c:v>Unitary Authority average</c:v>
                </c:pt>
              </c:strCache>
            </c:strRef>
          </c:tx>
          <c:spPr>
            <a:ln w="25400">
              <a:solidFill>
                <a:schemeClr val="accent1">
                  <a:lumMod val="60000"/>
                  <a:lumOff val="40000"/>
                </a:schemeClr>
              </a:solidFill>
              <a:prstDash val="sysDot"/>
            </a:ln>
          </c:spPr>
          <c:marker>
            <c:symbol val="none"/>
          </c:marker>
          <c:cat>
            <c:strRef>
              <c:f>Sheet1!$D$555:$H$555</c:f>
              <c:strCache>
                <c:ptCount val="5"/>
                <c:pt idx="0">
                  <c:v>2012/13</c:v>
                </c:pt>
                <c:pt idx="1">
                  <c:v>2013/14</c:v>
                </c:pt>
                <c:pt idx="2">
                  <c:v>2014/15</c:v>
                </c:pt>
                <c:pt idx="3">
                  <c:v>2015/16</c:v>
                </c:pt>
                <c:pt idx="4">
                  <c:v>2016/17</c:v>
                </c:pt>
              </c:strCache>
            </c:strRef>
          </c:cat>
          <c:val>
            <c:numRef>
              <c:f>Sheet1!$D$558:$H$558</c:f>
              <c:numCache>
                <c:formatCode>General</c:formatCode>
                <c:ptCount val="5"/>
                <c:pt idx="0">
                  <c:v>13.285714285714286</c:v>
                </c:pt>
                <c:pt idx="1">
                  <c:v>13.212765957446809</c:v>
                </c:pt>
                <c:pt idx="2">
                  <c:v>13.2</c:v>
                </c:pt>
                <c:pt idx="3">
                  <c:v>12.767441860465116</c:v>
                </c:pt>
                <c:pt idx="4">
                  <c:v>12.20833333333333</c:v>
                </c:pt>
              </c:numCache>
            </c:numRef>
          </c:val>
        </c:ser>
        <c:marker val="1"/>
        <c:axId val="155397120"/>
        <c:axId val="155398912"/>
      </c:lineChart>
      <c:catAx>
        <c:axId val="155397120"/>
        <c:scaling>
          <c:orientation val="minMax"/>
        </c:scaling>
        <c:axPos val="b"/>
        <c:tickLblPos val="nextTo"/>
        <c:crossAx val="155398912"/>
        <c:crosses val="autoZero"/>
        <c:auto val="1"/>
        <c:lblAlgn val="ctr"/>
        <c:lblOffset val="100"/>
      </c:catAx>
      <c:valAx>
        <c:axId val="155398912"/>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55397120"/>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Average speed on local 'A' roads</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numRef>
              <c:f>Sheet1!$D$176:$F$176</c:f>
              <c:numCache>
                <c:formatCode>General</c:formatCode>
                <c:ptCount val="3"/>
                <c:pt idx="0">
                  <c:v>2015</c:v>
                </c:pt>
                <c:pt idx="1">
                  <c:v>2016</c:v>
                </c:pt>
                <c:pt idx="2">
                  <c:v>2017</c:v>
                </c:pt>
              </c:numCache>
            </c:numRef>
          </c:cat>
          <c:val>
            <c:numRef>
              <c:f>Sheet1!$D$177:$F$177</c:f>
              <c:numCache>
                <c:formatCode>General</c:formatCode>
                <c:ptCount val="3"/>
                <c:pt idx="0">
                  <c:v>33.685000000000002</c:v>
                </c:pt>
                <c:pt idx="1">
                  <c:v>33.280000000000008</c:v>
                </c:pt>
                <c:pt idx="2">
                  <c:v>33.260000000000012</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numRef>
              <c:f>Sheet1!$D$176:$F$176</c:f>
              <c:numCache>
                <c:formatCode>General</c:formatCode>
                <c:ptCount val="3"/>
                <c:pt idx="0">
                  <c:v>2015</c:v>
                </c:pt>
                <c:pt idx="1">
                  <c:v>2016</c:v>
                </c:pt>
                <c:pt idx="2">
                  <c:v>2017</c:v>
                </c:pt>
              </c:numCache>
            </c:numRef>
          </c:cat>
          <c:val>
            <c:numRef>
              <c:f>Sheet1!$D$178:$F$178</c:f>
              <c:numCache>
                <c:formatCode>General</c:formatCode>
                <c:ptCount val="3"/>
                <c:pt idx="0">
                  <c:v>21.599999999999991</c:v>
                </c:pt>
                <c:pt idx="1">
                  <c:v>21.330000000000005</c:v>
                </c:pt>
                <c:pt idx="2">
                  <c:v>21.235454545454541</c:v>
                </c:pt>
              </c:numCache>
            </c:numRef>
          </c:val>
        </c:ser>
        <c:ser>
          <c:idx val="2"/>
          <c:order val="2"/>
          <c:tx>
            <c:strRef>
              <c:f>Sheet1!$C$179</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Sheet1!$D$176:$F$176</c:f>
              <c:numCache>
                <c:formatCode>General</c:formatCode>
                <c:ptCount val="3"/>
                <c:pt idx="0">
                  <c:v>2015</c:v>
                </c:pt>
                <c:pt idx="1">
                  <c:v>2016</c:v>
                </c:pt>
                <c:pt idx="2">
                  <c:v>2017</c:v>
                </c:pt>
              </c:numCache>
            </c:numRef>
          </c:cat>
          <c:val>
            <c:numRef>
              <c:f>Sheet1!$D$179:$F$179</c:f>
              <c:numCache>
                <c:formatCode>General</c:formatCode>
                <c:ptCount val="3"/>
                <c:pt idx="0">
                  <c:v>27.13818181818182</c:v>
                </c:pt>
                <c:pt idx="1">
                  <c:v>26.774545454545443</c:v>
                </c:pt>
                <c:pt idx="2">
                  <c:v>26.672727272727265</c:v>
                </c:pt>
              </c:numCache>
            </c:numRef>
          </c:val>
        </c:ser>
        <c:ser>
          <c:idx val="3"/>
          <c:order val="3"/>
          <c:tx>
            <c:strRef>
              <c:f>Sheet1!$C$180</c:f>
              <c:strCache>
                <c:ptCount val="1"/>
                <c:pt idx="0">
                  <c:v>Cheshire East</c:v>
                </c:pt>
              </c:strCache>
            </c:strRef>
          </c:tx>
          <c:spPr>
            <a:ln w="25400">
              <a:solidFill>
                <a:schemeClr val="tx1"/>
              </a:solidFill>
            </a:ln>
          </c:spPr>
          <c:marker>
            <c:symbol val="none"/>
          </c:marker>
          <c:cat>
            <c:numRef>
              <c:f>Sheet1!$D$176:$F$176</c:f>
              <c:numCache>
                <c:formatCode>General</c:formatCode>
                <c:ptCount val="3"/>
                <c:pt idx="0">
                  <c:v>2015</c:v>
                </c:pt>
                <c:pt idx="1">
                  <c:v>2016</c:v>
                </c:pt>
                <c:pt idx="2">
                  <c:v>2017</c:v>
                </c:pt>
              </c:numCache>
            </c:numRef>
          </c:cat>
          <c:val>
            <c:numRef>
              <c:f>Sheet1!$D$180:$F$180</c:f>
              <c:numCache>
                <c:formatCode>General</c:formatCode>
                <c:ptCount val="3"/>
                <c:pt idx="0">
                  <c:v>29.8</c:v>
                </c:pt>
                <c:pt idx="1">
                  <c:v>29.1</c:v>
                </c:pt>
                <c:pt idx="2">
                  <c:v>28.3</c:v>
                </c:pt>
              </c:numCache>
            </c:numRef>
          </c:val>
        </c:ser>
        <c:marker val="1"/>
        <c:axId val="155323392"/>
        <c:axId val="155329280"/>
      </c:lineChart>
      <c:catAx>
        <c:axId val="155323392"/>
        <c:scaling>
          <c:orientation val="minMax"/>
        </c:scaling>
        <c:axPos val="b"/>
        <c:numFmt formatCode="General" sourceLinked="1"/>
        <c:tickLblPos val="nextTo"/>
        <c:crossAx val="155329280"/>
        <c:crosses val="autoZero"/>
        <c:auto val="1"/>
        <c:lblAlgn val="ctr"/>
        <c:lblOffset val="100"/>
      </c:catAx>
      <c:valAx>
        <c:axId val="155329280"/>
        <c:scaling>
          <c:orientation val="minMax"/>
        </c:scaling>
        <c:axPos val="l"/>
        <c:majorGridlines/>
        <c:title>
          <c:tx>
            <c:strRef>
              <c:f>Sheet1!$C$181</c:f>
              <c:strCache>
                <c:ptCount val="1"/>
                <c:pt idx="0">
                  <c:v>mph</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5323392"/>
        <c:crosses val="autoZero"/>
        <c:crossBetween val="between"/>
      </c:valAx>
    </c:plotArea>
    <c:legend>
      <c:legendPos val="r"/>
      <c:txPr>
        <a:bodyPr/>
        <a:lstStyle/>
        <a:p>
          <a:pPr>
            <a:defRPr sz="900"/>
          </a:pPr>
          <a:endParaRPr lang="en-US"/>
        </a:p>
      </c:txPr>
    </c:legend>
    <c:plotVisOnly val="1"/>
  </c:chart>
  <c:externalData r:id="rId1"/>
</c:chartSpace>
</file>

<file path=word/charts/chart67.xml><?xml version="1.0" encoding="utf-8"?>
<c:chartSpace xmlns:c="http://schemas.openxmlformats.org/drawingml/2006/chart" xmlns:a="http://schemas.openxmlformats.org/drawingml/2006/main" xmlns:r="http://schemas.openxmlformats.org/officeDocument/2006/relationships">
  <c:lang val="en-GB"/>
  <c:chart>
    <c:title>
      <c:tx>
        <c:strRef>
          <c:f>Sheet1!$C$376</c:f>
          <c:strCache>
            <c:ptCount val="1"/>
            <c:pt idx="0">
              <c:v>Average delay on locally managed 'A' roads</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Sheet1!$C$377</c:f>
              <c:strCache>
                <c:ptCount val="1"/>
                <c:pt idx="0">
                  <c:v>Predominantly Rural average</c:v>
                </c:pt>
              </c:strCache>
            </c:strRef>
          </c:tx>
          <c:spPr>
            <a:ln w="25400">
              <a:solidFill>
                <a:schemeClr val="bg1">
                  <a:lumMod val="75000"/>
                </a:schemeClr>
              </a:solidFill>
            </a:ln>
          </c:spPr>
          <c:marker>
            <c:symbol val="none"/>
          </c:marker>
          <c:cat>
            <c:numRef>
              <c:f>Sheet1!$D$376:$F$376</c:f>
              <c:numCache>
                <c:formatCode>General</c:formatCode>
                <c:ptCount val="3"/>
                <c:pt idx="0">
                  <c:v>2015</c:v>
                </c:pt>
                <c:pt idx="1">
                  <c:v>2016</c:v>
                </c:pt>
                <c:pt idx="2">
                  <c:v>2017</c:v>
                </c:pt>
              </c:numCache>
            </c:numRef>
          </c:cat>
          <c:val>
            <c:numRef>
              <c:f>Sheet1!$D$377:$F$377</c:f>
              <c:numCache>
                <c:formatCode>General</c:formatCode>
                <c:ptCount val="3"/>
                <c:pt idx="0">
                  <c:v>23.214999999999996</c:v>
                </c:pt>
                <c:pt idx="1">
                  <c:v>23.964999999999996</c:v>
                </c:pt>
                <c:pt idx="2">
                  <c:v>24.619999999999997</c:v>
                </c:pt>
              </c:numCache>
            </c:numRef>
          </c:val>
        </c:ser>
        <c:ser>
          <c:idx val="1"/>
          <c:order val="1"/>
          <c:tx>
            <c:strRef>
              <c:f>Sheet1!$C$378</c:f>
              <c:strCache>
                <c:ptCount val="1"/>
                <c:pt idx="0">
                  <c:v>Predominantly Urban average</c:v>
                </c:pt>
              </c:strCache>
            </c:strRef>
          </c:tx>
          <c:spPr>
            <a:ln w="25400">
              <a:solidFill>
                <a:schemeClr val="accent6">
                  <a:lumMod val="75000"/>
                </a:schemeClr>
              </a:solidFill>
              <a:prstDash val="sysDash"/>
            </a:ln>
          </c:spPr>
          <c:marker>
            <c:symbol val="none"/>
          </c:marker>
          <c:cat>
            <c:numRef>
              <c:f>Sheet1!$D$376:$F$376</c:f>
              <c:numCache>
                <c:formatCode>General</c:formatCode>
                <c:ptCount val="3"/>
                <c:pt idx="0">
                  <c:v>2015</c:v>
                </c:pt>
                <c:pt idx="1">
                  <c:v>2016</c:v>
                </c:pt>
                <c:pt idx="2">
                  <c:v>2017</c:v>
                </c:pt>
              </c:numCache>
            </c:numRef>
          </c:cat>
          <c:val>
            <c:numRef>
              <c:f>Sheet1!$D$378:$F$378</c:f>
              <c:numCache>
                <c:formatCode>General</c:formatCode>
                <c:ptCount val="3"/>
                <c:pt idx="0">
                  <c:v>71.713636363636368</c:v>
                </c:pt>
                <c:pt idx="1">
                  <c:v>74.109090909090909</c:v>
                </c:pt>
                <c:pt idx="2">
                  <c:v>75.254545454545465</c:v>
                </c:pt>
              </c:numCache>
            </c:numRef>
          </c:val>
        </c:ser>
        <c:ser>
          <c:idx val="2"/>
          <c:order val="2"/>
          <c:tx>
            <c:strRef>
              <c:f>Sheet1!$C$379</c:f>
              <c:strCache>
                <c:ptCount val="1"/>
                <c:pt idx="0">
                  <c:v>Unitary Authority average</c:v>
                </c:pt>
              </c:strCache>
            </c:strRef>
          </c:tx>
          <c:spPr>
            <a:ln w="25400">
              <a:solidFill>
                <a:schemeClr val="accent1">
                  <a:lumMod val="60000"/>
                  <a:lumOff val="40000"/>
                </a:schemeClr>
              </a:solidFill>
              <a:prstDash val="sysDot"/>
            </a:ln>
          </c:spPr>
          <c:marker>
            <c:symbol val="none"/>
          </c:marker>
          <c:cat>
            <c:numRef>
              <c:f>Sheet1!$D$376:$F$376</c:f>
              <c:numCache>
                <c:formatCode>General</c:formatCode>
                <c:ptCount val="3"/>
                <c:pt idx="0">
                  <c:v>2015</c:v>
                </c:pt>
                <c:pt idx="1">
                  <c:v>2016</c:v>
                </c:pt>
                <c:pt idx="2">
                  <c:v>2017</c:v>
                </c:pt>
              </c:numCache>
            </c:numRef>
          </c:cat>
          <c:val>
            <c:numRef>
              <c:f>Sheet1!$D$379:$F$379</c:f>
              <c:numCache>
                <c:formatCode>General</c:formatCode>
                <c:ptCount val="3"/>
                <c:pt idx="0">
                  <c:v>44.083636363636344</c:v>
                </c:pt>
                <c:pt idx="1">
                  <c:v>45.674545454545445</c:v>
                </c:pt>
                <c:pt idx="2">
                  <c:v>46.781818181818203</c:v>
                </c:pt>
              </c:numCache>
            </c:numRef>
          </c:val>
        </c:ser>
        <c:ser>
          <c:idx val="3"/>
          <c:order val="3"/>
          <c:tx>
            <c:strRef>
              <c:f>Sheet1!$C$380</c:f>
              <c:strCache>
                <c:ptCount val="1"/>
                <c:pt idx="0">
                  <c:v>Cheshire East</c:v>
                </c:pt>
              </c:strCache>
            </c:strRef>
          </c:tx>
          <c:spPr>
            <a:ln w="25400">
              <a:solidFill>
                <a:schemeClr val="tx1"/>
              </a:solidFill>
            </a:ln>
          </c:spPr>
          <c:marker>
            <c:symbol val="none"/>
          </c:marker>
          <c:cat>
            <c:numRef>
              <c:f>Sheet1!$D$376:$F$376</c:f>
              <c:numCache>
                <c:formatCode>General</c:formatCode>
                <c:ptCount val="3"/>
                <c:pt idx="0">
                  <c:v>2015</c:v>
                </c:pt>
                <c:pt idx="1">
                  <c:v>2016</c:v>
                </c:pt>
                <c:pt idx="2">
                  <c:v>2017</c:v>
                </c:pt>
              </c:numCache>
            </c:numRef>
          </c:cat>
          <c:val>
            <c:numRef>
              <c:f>Sheet1!$D$380:$F$380</c:f>
              <c:numCache>
                <c:formatCode>General</c:formatCode>
                <c:ptCount val="3"/>
                <c:pt idx="0">
                  <c:v>31.3</c:v>
                </c:pt>
                <c:pt idx="1">
                  <c:v>33.300000000000011</c:v>
                </c:pt>
                <c:pt idx="2">
                  <c:v>36.4</c:v>
                </c:pt>
              </c:numCache>
            </c:numRef>
          </c:val>
        </c:ser>
        <c:marker val="1"/>
        <c:axId val="155340160"/>
        <c:axId val="155350144"/>
      </c:lineChart>
      <c:catAx>
        <c:axId val="155340160"/>
        <c:scaling>
          <c:orientation val="minMax"/>
        </c:scaling>
        <c:axPos val="b"/>
        <c:numFmt formatCode="General" sourceLinked="1"/>
        <c:tickLblPos val="nextTo"/>
        <c:crossAx val="155350144"/>
        <c:crosses val="autoZero"/>
        <c:auto val="1"/>
        <c:lblAlgn val="ctr"/>
        <c:lblOffset val="100"/>
      </c:catAx>
      <c:valAx>
        <c:axId val="155350144"/>
        <c:scaling>
          <c:orientation val="minMax"/>
        </c:scaling>
        <c:axPos val="l"/>
        <c:majorGridlines/>
        <c:title>
          <c:tx>
            <c:strRef>
              <c:f>Sheet1!$C$381</c:f>
              <c:strCache>
                <c:ptCount val="1"/>
                <c:pt idx="0">
                  <c:v>seconds per vehicle per mile</c:v>
                </c:pt>
              </c:strCache>
            </c:strRef>
          </c:tx>
          <c:layout/>
          <c:txPr>
            <a:bodyPr rot="-5400000" vert="horz"/>
            <a:lstStyle/>
            <a:p>
              <a:pPr>
                <a:defRPr/>
              </a:pPr>
              <a:endParaRPr lang="en-US"/>
            </a:p>
          </c:txPr>
        </c:title>
        <c:numFmt formatCode="General" sourceLinked="1"/>
        <c:tickLblPos val="nextTo"/>
        <c:crossAx val="155340160"/>
        <c:crosses val="autoZero"/>
        <c:crossBetween val="between"/>
      </c:valAx>
    </c:plotArea>
    <c:legend>
      <c:legendPos val="r"/>
      <c:layout/>
    </c:legend>
    <c:plotVisOnly val="1"/>
  </c:chart>
  <c:externalData r:id="rId1"/>
</c:chartSpace>
</file>

<file path=word/charts/chart68.xml><?xml version="1.0" encoding="utf-8"?>
<c:chartSpace xmlns:c="http://schemas.openxmlformats.org/drawingml/2006/chart" xmlns:a="http://schemas.openxmlformats.org/drawingml/2006/main" xmlns:r="http://schemas.openxmlformats.org/officeDocument/2006/relationships">
  <c:lang val="en-GB"/>
  <c:chart>
    <c:title>
      <c:tx>
        <c:strRef>
          <c:f>Sheet1!$C$385</c:f>
          <c:strCache>
            <c:ptCount val="1"/>
            <c:pt idx="0">
              <c:v>Proportion of adults who do any walking or cycling, for any purpose,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Sheet1!$C$386</c:f>
              <c:strCache>
                <c:ptCount val="1"/>
                <c:pt idx="0">
                  <c:v>Predominantly Rural average</c:v>
                </c:pt>
              </c:strCache>
            </c:strRef>
          </c:tx>
          <c:spPr>
            <a:solidFill>
              <a:schemeClr val="bg1">
                <a:lumMod val="75000"/>
              </a:schemeClr>
            </a:solidFill>
          </c:spPr>
          <c:cat>
            <c:strRef>
              <c:f>Sheet1!$D$385:$G$385</c:f>
              <c:strCache>
                <c:ptCount val="4"/>
                <c:pt idx="0">
                  <c:v>Once per month</c:v>
                </c:pt>
                <c:pt idx="1">
                  <c:v>Once per week</c:v>
                </c:pt>
                <c:pt idx="2">
                  <c:v>Three times per week</c:v>
                </c:pt>
                <c:pt idx="3">
                  <c:v>Five times per week</c:v>
                </c:pt>
              </c:strCache>
            </c:strRef>
          </c:cat>
          <c:val>
            <c:numRef>
              <c:f>Sheet1!$D$386:$G$386</c:f>
              <c:numCache>
                <c:formatCode>General</c:formatCode>
                <c:ptCount val="4"/>
                <c:pt idx="0">
                  <c:v>79.994502318271913</c:v>
                </c:pt>
                <c:pt idx="1">
                  <c:v>71.175824559937908</c:v>
                </c:pt>
                <c:pt idx="2">
                  <c:v>45.685015788498369</c:v>
                </c:pt>
                <c:pt idx="3">
                  <c:v>33.376804465942683</c:v>
                </c:pt>
              </c:numCache>
            </c:numRef>
          </c:val>
        </c:ser>
        <c:ser>
          <c:idx val="1"/>
          <c:order val="1"/>
          <c:tx>
            <c:strRef>
              <c:f>Sheet1!$C$387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Sheet1!$D$385:$G$385</c:f>
              <c:strCache>
                <c:ptCount val="4"/>
                <c:pt idx="0">
                  <c:v>Once per month</c:v>
                </c:pt>
                <c:pt idx="1">
                  <c:v>Once per week</c:v>
                </c:pt>
                <c:pt idx="2">
                  <c:v>Three times per week</c:v>
                </c:pt>
                <c:pt idx="3">
                  <c:v>Five times per week</c:v>
                </c:pt>
              </c:strCache>
            </c:strRef>
          </c:cat>
          <c:val>
            <c:numRef>
              <c:f>Sheet1!$D$387:$G$387</c:f>
              <c:numCache>
                <c:formatCode>General</c:formatCode>
                <c:ptCount val="4"/>
                <c:pt idx="0">
                  <c:v>78.833890472472945</c:v>
                </c:pt>
                <c:pt idx="1">
                  <c:v>70.482260135677919</c:v>
                </c:pt>
                <c:pt idx="2">
                  <c:v>45.946457647104232</c:v>
                </c:pt>
                <c:pt idx="3">
                  <c:v>34.530342869130905</c:v>
                </c:pt>
              </c:numCache>
            </c:numRef>
          </c:val>
        </c:ser>
        <c:ser>
          <c:idx val="2"/>
          <c:order val="2"/>
          <c:tx>
            <c:strRef>
              <c:f>Sheet1!$C$388</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Sheet1!$D$385:$G$385</c:f>
              <c:strCache>
                <c:ptCount val="4"/>
                <c:pt idx="0">
                  <c:v>Once per month</c:v>
                </c:pt>
                <c:pt idx="1">
                  <c:v>Once per week</c:v>
                </c:pt>
                <c:pt idx="2">
                  <c:v>Three times per week</c:v>
                </c:pt>
                <c:pt idx="3">
                  <c:v>Five times per week</c:v>
                </c:pt>
              </c:strCache>
            </c:strRef>
          </c:cat>
          <c:val>
            <c:numRef>
              <c:f>Sheet1!$D$388:$G$388</c:f>
              <c:numCache>
                <c:formatCode>General</c:formatCode>
                <c:ptCount val="4"/>
                <c:pt idx="0">
                  <c:v>79.095396983864774</c:v>
                </c:pt>
                <c:pt idx="1">
                  <c:v>70.518244866892573</c:v>
                </c:pt>
                <c:pt idx="2">
                  <c:v>45.264061268059066</c:v>
                </c:pt>
                <c:pt idx="3">
                  <c:v>33.652003905794899</c:v>
                </c:pt>
              </c:numCache>
            </c:numRef>
          </c:val>
        </c:ser>
        <c:ser>
          <c:idx val="3"/>
          <c:order val="3"/>
          <c:tx>
            <c:strRef>
              <c:f>Sheet1!$C$389</c:f>
              <c:strCache>
                <c:ptCount val="1"/>
                <c:pt idx="0">
                  <c:v>Cheshire East</c:v>
                </c:pt>
              </c:strCache>
            </c:strRef>
          </c:tx>
          <c:spPr>
            <a:solidFill>
              <a:schemeClr val="tx1"/>
            </a:solidFill>
          </c:spPr>
          <c:cat>
            <c:strRef>
              <c:f>Sheet1!$D$385:$G$385</c:f>
              <c:strCache>
                <c:ptCount val="4"/>
                <c:pt idx="0">
                  <c:v>Once per month</c:v>
                </c:pt>
                <c:pt idx="1">
                  <c:v>Once per week</c:v>
                </c:pt>
                <c:pt idx="2">
                  <c:v>Three times per week</c:v>
                </c:pt>
                <c:pt idx="3">
                  <c:v>Five times per week</c:v>
                </c:pt>
              </c:strCache>
            </c:strRef>
          </c:cat>
          <c:val>
            <c:numRef>
              <c:f>Sheet1!$D$389:$G$389</c:f>
              <c:numCache>
                <c:formatCode>General</c:formatCode>
                <c:ptCount val="4"/>
                <c:pt idx="0">
                  <c:v>78.77044480612156</c:v>
                </c:pt>
                <c:pt idx="1">
                  <c:v>68.340080138634463</c:v>
                </c:pt>
                <c:pt idx="2">
                  <c:v>38.126055171566868</c:v>
                </c:pt>
                <c:pt idx="3">
                  <c:v>25.880157961668754</c:v>
                </c:pt>
              </c:numCache>
            </c:numRef>
          </c:val>
        </c:ser>
        <c:axId val="155537408"/>
        <c:axId val="155538944"/>
      </c:barChart>
      <c:catAx>
        <c:axId val="155537408"/>
        <c:scaling>
          <c:orientation val="minMax"/>
        </c:scaling>
        <c:axPos val="b"/>
        <c:tickLblPos val="nextTo"/>
        <c:txPr>
          <a:bodyPr/>
          <a:lstStyle/>
          <a:p>
            <a:pPr>
              <a:defRPr sz="800"/>
            </a:pPr>
            <a:endParaRPr lang="en-US"/>
          </a:p>
        </c:txPr>
        <c:crossAx val="155538944"/>
        <c:crosses val="autoZero"/>
        <c:auto val="1"/>
        <c:lblAlgn val="ctr"/>
        <c:lblOffset val="100"/>
      </c:catAx>
      <c:valAx>
        <c:axId val="155538944"/>
        <c:scaling>
          <c:orientation val="minMax"/>
        </c:scaling>
        <c:axPos val="l"/>
        <c:majorGridlines/>
        <c:title>
          <c:tx>
            <c:strRef>
              <c:f>Sheet1!$C$390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5537408"/>
        <c:crosses val="autoZero"/>
        <c:crossBetween val="between"/>
      </c:valAx>
    </c:plotArea>
    <c:legend>
      <c:legendPos val="r"/>
      <c:layout/>
      <c:txPr>
        <a:bodyPr/>
        <a:lstStyle/>
        <a:p>
          <a:pPr>
            <a:defRPr sz="800"/>
          </a:pPr>
          <a:endParaRPr lang="en-US"/>
        </a:p>
      </c:txPr>
    </c:legend>
    <c:plotVisOnly val="1"/>
  </c:chart>
  <c:externalData r:id="rId1"/>
</c:chartSpace>
</file>

<file path=word/charts/chart69.xml><?xml version="1.0" encoding="utf-8"?>
<c:chartSpace xmlns:c="http://schemas.openxmlformats.org/drawingml/2006/chart" xmlns:a="http://schemas.openxmlformats.org/drawingml/2006/main" xmlns:r="http://schemas.openxmlformats.org/officeDocument/2006/relationships">
  <c:lang val="en-GB"/>
  <c:chart>
    <c:title>
      <c:tx>
        <c:strRef>
          <c:f>Sheet1!$O$385</c:f>
          <c:strCache>
            <c:ptCount val="1"/>
            <c:pt idx="0">
              <c:v>Proportion of adults that do any cycling</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Sheet1!$P$385:$S$385</c:f>
              <c:strCache>
                <c:ptCount val="4"/>
                <c:pt idx="0">
                  <c:v>Once per month</c:v>
                </c:pt>
                <c:pt idx="1">
                  <c:v>Once per week</c:v>
                </c:pt>
                <c:pt idx="2">
                  <c:v>Three times per week</c:v>
                </c:pt>
                <c:pt idx="3">
                  <c:v>Five times per week</c:v>
                </c:pt>
              </c:strCache>
            </c:strRef>
          </c:cat>
          <c:val>
            <c:numRef>
              <c:f>Sheet1!$P$386:$S$386</c:f>
              <c:numCache>
                <c:formatCode>General</c:formatCode>
                <c:ptCount val="4"/>
                <c:pt idx="0">
                  <c:v>18.62971445642463</c:v>
                </c:pt>
                <c:pt idx="1">
                  <c:v>12.317848917802099</c:v>
                </c:pt>
                <c:pt idx="2">
                  <c:v>4.9864778654535042</c:v>
                </c:pt>
                <c:pt idx="3">
                  <c:v>2.6135655863943055</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Sheet1!$P$385:$S$385</c:f>
              <c:strCache>
                <c:ptCount val="4"/>
                <c:pt idx="0">
                  <c:v>Once per month</c:v>
                </c:pt>
                <c:pt idx="1">
                  <c:v>Once per week</c:v>
                </c:pt>
                <c:pt idx="2">
                  <c:v>Three times per week</c:v>
                </c:pt>
                <c:pt idx="3">
                  <c:v>Five times per week</c:v>
                </c:pt>
              </c:strCache>
            </c:strRef>
          </c:cat>
          <c:val>
            <c:numRef>
              <c:f>Sheet1!$P$387:$S$387</c:f>
              <c:numCache>
                <c:formatCode>General</c:formatCode>
                <c:ptCount val="4"/>
                <c:pt idx="0">
                  <c:v>17.202029246923846</c:v>
                </c:pt>
                <c:pt idx="1">
                  <c:v>12.269124925258293</c:v>
                </c:pt>
                <c:pt idx="2">
                  <c:v>6.1482032257443429</c:v>
                </c:pt>
                <c:pt idx="3">
                  <c:v>3.7542337550957745</c:v>
                </c:pt>
              </c:numCache>
            </c:numRef>
          </c:val>
        </c:ser>
        <c:ser>
          <c:idx val="2"/>
          <c:order val="2"/>
          <c:tx>
            <c:strRef>
              <c:f>Sheet1!$O$388</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Sheet1!$P$385:$S$385</c:f>
              <c:strCache>
                <c:ptCount val="4"/>
                <c:pt idx="0">
                  <c:v>Once per month</c:v>
                </c:pt>
                <c:pt idx="1">
                  <c:v>Once per week</c:v>
                </c:pt>
                <c:pt idx="2">
                  <c:v>Three times per week</c:v>
                </c:pt>
                <c:pt idx="3">
                  <c:v>Five times per week</c:v>
                </c:pt>
              </c:strCache>
            </c:strRef>
          </c:cat>
          <c:val>
            <c:numRef>
              <c:f>Sheet1!$P$388:$S$388</c:f>
              <c:numCache>
                <c:formatCode>General</c:formatCode>
                <c:ptCount val="4"/>
                <c:pt idx="0">
                  <c:v>18.074396928439896</c:v>
                </c:pt>
                <c:pt idx="1">
                  <c:v>12.629504850840124</c:v>
                </c:pt>
                <c:pt idx="2">
                  <c:v>6.0242710770599581</c:v>
                </c:pt>
                <c:pt idx="3">
                  <c:v>3.5572191789950147</c:v>
                </c:pt>
              </c:numCache>
            </c:numRef>
          </c:val>
        </c:ser>
        <c:ser>
          <c:idx val="3"/>
          <c:order val="3"/>
          <c:tx>
            <c:strRef>
              <c:f>Sheet1!$O$389</c:f>
              <c:strCache>
                <c:ptCount val="1"/>
                <c:pt idx="0">
                  <c:v>Cheshire East</c:v>
                </c:pt>
              </c:strCache>
            </c:strRef>
          </c:tx>
          <c:spPr>
            <a:solidFill>
              <a:schemeClr val="tx1"/>
            </a:solidFill>
          </c:spPr>
          <c:cat>
            <c:strRef>
              <c:f>Sheet1!$P$385:$S$385</c:f>
              <c:strCache>
                <c:ptCount val="4"/>
                <c:pt idx="0">
                  <c:v>Once per month</c:v>
                </c:pt>
                <c:pt idx="1">
                  <c:v>Once per week</c:v>
                </c:pt>
                <c:pt idx="2">
                  <c:v>Three times per week</c:v>
                </c:pt>
                <c:pt idx="3">
                  <c:v>Five times per week</c:v>
                </c:pt>
              </c:strCache>
            </c:strRef>
          </c:cat>
          <c:val>
            <c:numRef>
              <c:f>Sheet1!$P$389:$S$389</c:f>
              <c:numCache>
                <c:formatCode>General</c:formatCode>
                <c:ptCount val="4"/>
                <c:pt idx="0">
                  <c:v>17.115251092246201</c:v>
                </c:pt>
                <c:pt idx="1">
                  <c:v>9.7482799138013636</c:v>
                </c:pt>
                <c:pt idx="2">
                  <c:v>3.9195539344999433</c:v>
                </c:pt>
                <c:pt idx="3">
                  <c:v>1.5258910214031656</c:v>
                </c:pt>
              </c:numCache>
            </c:numRef>
          </c:val>
        </c:ser>
        <c:axId val="155579520"/>
        <c:axId val="155581056"/>
      </c:barChart>
      <c:catAx>
        <c:axId val="155579520"/>
        <c:scaling>
          <c:orientation val="minMax"/>
        </c:scaling>
        <c:axPos val="b"/>
        <c:numFmt formatCode="General" sourceLinked="1"/>
        <c:tickLblPos val="nextTo"/>
        <c:txPr>
          <a:bodyPr/>
          <a:lstStyle/>
          <a:p>
            <a:pPr>
              <a:defRPr sz="800"/>
            </a:pPr>
            <a:endParaRPr lang="en-US"/>
          </a:p>
        </c:txPr>
        <c:crossAx val="155581056"/>
        <c:crosses val="autoZero"/>
        <c:auto val="1"/>
        <c:lblAlgn val="ctr"/>
        <c:lblOffset val="100"/>
      </c:catAx>
      <c:valAx>
        <c:axId val="155581056"/>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5579520"/>
        <c:crosses val="autoZero"/>
        <c:crossBetween val="between"/>
      </c:valAx>
    </c:plotArea>
    <c:legend>
      <c:legendPos val="r"/>
      <c:layout/>
      <c:txPr>
        <a:bodyPr/>
        <a:lstStyle/>
        <a:p>
          <a:pPr>
            <a:defRPr sz="800"/>
          </a:pPr>
          <a:endParaRPr lang="en-US"/>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GB"/>
  <c:chart>
    <c:title>
      <c:tx>
        <c:strRef>
          <c:f>Sheet1!$BT$379</c:f>
          <c:strCache>
            <c:ptCount val="1"/>
            <c:pt idx="0">
              <c:v>Travel time to nearest employment centre with at least 5000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Sheet1!$BT$380</c:f>
              <c:strCache>
                <c:ptCount val="1"/>
                <c:pt idx="0">
                  <c:v>Predominantly Rural average</c:v>
                </c:pt>
              </c:strCache>
            </c:strRef>
          </c:tx>
          <c:spPr>
            <a:ln w="25400">
              <a:solidFill>
                <a:schemeClr val="bg1">
                  <a:lumMod val="65000"/>
                </a:schemeClr>
              </a:solidFill>
            </a:ln>
          </c:spPr>
          <c:marker>
            <c:symbol val="none"/>
          </c:marker>
          <c:cat>
            <c:numRef>
              <c:f>Sheet1!$BU$379:$BW$379</c:f>
              <c:numCache>
                <c:formatCode>General</c:formatCode>
                <c:ptCount val="3"/>
                <c:pt idx="0">
                  <c:v>2014</c:v>
                </c:pt>
                <c:pt idx="1">
                  <c:v>2015</c:v>
                </c:pt>
                <c:pt idx="2">
                  <c:v>2016</c:v>
                </c:pt>
              </c:numCache>
            </c:numRef>
          </c:cat>
          <c:val>
            <c:numRef>
              <c:f>Sheet1!$BU$380:$BW$380</c:f>
              <c:numCache>
                <c:formatCode>General</c:formatCode>
                <c:ptCount val="3"/>
                <c:pt idx="0">
                  <c:v>53.574551556812388</c:v>
                </c:pt>
                <c:pt idx="1">
                  <c:v>54.474679226812057</c:v>
                </c:pt>
                <c:pt idx="2">
                  <c:v>54.191171905604087</c:v>
                </c:pt>
              </c:numCache>
            </c:numRef>
          </c:val>
        </c:ser>
        <c:ser>
          <c:idx val="2"/>
          <c:order val="1"/>
          <c:tx>
            <c:strRef>
              <c:f>Sheet1!$BT$381</c:f>
              <c:strCache>
                <c:ptCount val="1"/>
                <c:pt idx="0">
                  <c:v>Predominantly Urban average</c:v>
                </c:pt>
              </c:strCache>
            </c:strRef>
          </c:tx>
          <c:spPr>
            <a:ln w="25400">
              <a:solidFill>
                <a:schemeClr val="accent6">
                  <a:lumMod val="75000"/>
                </a:schemeClr>
              </a:solidFill>
              <a:prstDash val="sysDash"/>
            </a:ln>
          </c:spPr>
          <c:marker>
            <c:symbol val="none"/>
          </c:marker>
          <c:cat>
            <c:numRef>
              <c:f>Sheet1!$BU$379:$BW$379</c:f>
              <c:numCache>
                <c:formatCode>General</c:formatCode>
                <c:ptCount val="3"/>
                <c:pt idx="0">
                  <c:v>2014</c:v>
                </c:pt>
                <c:pt idx="1">
                  <c:v>2015</c:v>
                </c:pt>
                <c:pt idx="2">
                  <c:v>2016</c:v>
                </c:pt>
              </c:numCache>
            </c:numRef>
          </c:cat>
          <c:val>
            <c:numRef>
              <c:f>Sheet1!$BU$381:$BW$381</c:f>
              <c:numCache>
                <c:formatCode>General</c:formatCode>
                <c:ptCount val="3"/>
                <c:pt idx="0">
                  <c:v>26.539820232972112</c:v>
                </c:pt>
                <c:pt idx="1">
                  <c:v>26.413549030206369</c:v>
                </c:pt>
                <c:pt idx="2">
                  <c:v>26.66775564730273</c:v>
                </c:pt>
              </c:numCache>
            </c:numRef>
          </c:val>
        </c:ser>
        <c:ser>
          <c:idx val="3"/>
          <c:order val="2"/>
          <c:tx>
            <c:strRef>
              <c:f>Sheet1!$BT$382</c:f>
              <c:strCache>
                <c:ptCount val="1"/>
                <c:pt idx="0">
                  <c:v>Unitary Authority average</c:v>
                </c:pt>
              </c:strCache>
            </c:strRef>
          </c:tx>
          <c:spPr>
            <a:ln w="25400">
              <a:solidFill>
                <a:schemeClr val="accent1">
                  <a:lumMod val="40000"/>
                  <a:lumOff val="60000"/>
                </a:schemeClr>
              </a:solidFill>
              <a:prstDash val="sysDot"/>
            </a:ln>
          </c:spPr>
          <c:marker>
            <c:symbol val="none"/>
          </c:marker>
          <c:cat>
            <c:numRef>
              <c:f>Sheet1!$BU$379:$BW$379</c:f>
              <c:numCache>
                <c:formatCode>General</c:formatCode>
                <c:ptCount val="3"/>
                <c:pt idx="0">
                  <c:v>2014</c:v>
                </c:pt>
                <c:pt idx="1">
                  <c:v>2015</c:v>
                </c:pt>
                <c:pt idx="2">
                  <c:v>2016</c:v>
                </c:pt>
              </c:numCache>
            </c:numRef>
          </c:cat>
          <c:val>
            <c:numRef>
              <c:f>Sheet1!$BU$382:$BW$382</c:f>
              <c:numCache>
                <c:formatCode>General</c:formatCode>
                <c:ptCount val="3"/>
                <c:pt idx="0">
                  <c:v>30.687695180095993</c:v>
                </c:pt>
                <c:pt idx="1">
                  <c:v>30.859807850753864</c:v>
                </c:pt>
                <c:pt idx="2">
                  <c:v>31.163416110137348</c:v>
                </c:pt>
              </c:numCache>
            </c:numRef>
          </c:val>
        </c:ser>
        <c:ser>
          <c:idx val="4"/>
          <c:order val="3"/>
          <c:tx>
            <c:strRef>
              <c:f>Sheet1!$BT$383</c:f>
              <c:strCache>
                <c:ptCount val="1"/>
                <c:pt idx="0">
                  <c:v>Cheshire East</c:v>
                </c:pt>
              </c:strCache>
            </c:strRef>
          </c:tx>
          <c:spPr>
            <a:ln w="25400">
              <a:solidFill>
                <a:schemeClr val="tx1"/>
              </a:solidFill>
            </a:ln>
          </c:spPr>
          <c:marker>
            <c:symbol val="none"/>
          </c:marker>
          <c:cat>
            <c:numRef>
              <c:f>Sheet1!$BU$379:$BW$379</c:f>
              <c:numCache>
                <c:formatCode>General</c:formatCode>
                <c:ptCount val="3"/>
                <c:pt idx="0">
                  <c:v>2014</c:v>
                </c:pt>
                <c:pt idx="1">
                  <c:v>2015</c:v>
                </c:pt>
                <c:pt idx="2">
                  <c:v>2016</c:v>
                </c:pt>
              </c:numCache>
            </c:numRef>
          </c:cat>
          <c:val>
            <c:numRef>
              <c:f>Sheet1!$BU$383:$BW$383</c:f>
              <c:numCache>
                <c:formatCode>General</c:formatCode>
                <c:ptCount val="3"/>
                <c:pt idx="0">
                  <c:v>33.156829885148333</c:v>
                </c:pt>
                <c:pt idx="1">
                  <c:v>33.794063540079875</c:v>
                </c:pt>
                <c:pt idx="2">
                  <c:v>33.936638213403199</c:v>
                </c:pt>
              </c:numCache>
            </c:numRef>
          </c:val>
        </c:ser>
        <c:marker val="1"/>
        <c:axId val="152524672"/>
        <c:axId val="152526208"/>
      </c:lineChart>
      <c:catAx>
        <c:axId val="152524672"/>
        <c:scaling>
          <c:orientation val="minMax"/>
        </c:scaling>
        <c:axPos val="b"/>
        <c:numFmt formatCode="General" sourceLinked="1"/>
        <c:tickLblPos val="nextTo"/>
        <c:crossAx val="152526208"/>
        <c:crosses val="autoZero"/>
        <c:auto val="1"/>
        <c:lblAlgn val="ctr"/>
        <c:lblOffset val="100"/>
      </c:catAx>
      <c:valAx>
        <c:axId val="152526208"/>
        <c:scaling>
          <c:orientation val="minMax"/>
        </c:scaling>
        <c:axPos val="l"/>
        <c:majorGridlines/>
        <c:title>
          <c:tx>
            <c:strRef>
              <c:f>Sheet1!$BT$384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2524672"/>
        <c:crosses val="autoZero"/>
        <c:crossBetween val="between"/>
      </c:valAx>
    </c:plotArea>
    <c:legend>
      <c:legendPos val="r"/>
      <c:txPr>
        <a:bodyPr/>
        <a:lstStyle/>
        <a:p>
          <a:pPr>
            <a:defRPr sz="800"/>
          </a:pPr>
          <a:endParaRPr lang="en-US"/>
        </a:p>
      </c:txPr>
    </c:legend>
    <c:plotVisOnly val="1"/>
  </c:chart>
  <c:externalData r:id="rId1"/>
</c:chartSpace>
</file>

<file path=word/charts/chart70.xml><?xml version="1.0" encoding="utf-8"?>
<c:chartSpace xmlns:c="http://schemas.openxmlformats.org/drawingml/2006/chart" xmlns:a="http://schemas.openxmlformats.org/drawingml/2006/main" xmlns:r="http://schemas.openxmlformats.org/officeDocument/2006/relationships">
  <c:lang val="en-GB"/>
  <c:chart>
    <c:title>
      <c:tx>
        <c:strRef>
          <c:f>Sheet1!$T$385</c:f>
          <c:strCache>
            <c:ptCount val="1"/>
            <c:pt idx="0">
              <c:v>Proportion of adults that cycle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Sheet1!$U$385:$X$385</c:f>
              <c:strCache>
                <c:ptCount val="4"/>
                <c:pt idx="0">
                  <c:v>Once per month</c:v>
                </c:pt>
                <c:pt idx="1">
                  <c:v>Once per week</c:v>
                </c:pt>
                <c:pt idx="2">
                  <c:v>Three times per week</c:v>
                </c:pt>
                <c:pt idx="3">
                  <c:v>Five times per week</c:v>
                </c:pt>
              </c:strCache>
            </c:strRef>
          </c:cat>
          <c:val>
            <c:numRef>
              <c:f>Sheet1!$U$386:$X$386</c:f>
              <c:numCache>
                <c:formatCode>General</c:formatCode>
                <c:ptCount val="4"/>
                <c:pt idx="0">
                  <c:v>16.151674197939037</c:v>
                </c:pt>
                <c:pt idx="1">
                  <c:v>9.3440235113504304</c:v>
                </c:pt>
                <c:pt idx="2">
                  <c:v>2.6070059281069131</c:v>
                </c:pt>
                <c:pt idx="3">
                  <c:v>1.147905228434102</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Sheet1!$U$385:$X$385</c:f>
              <c:strCache>
                <c:ptCount val="4"/>
                <c:pt idx="0">
                  <c:v>Once per month</c:v>
                </c:pt>
                <c:pt idx="1">
                  <c:v>Once per week</c:v>
                </c:pt>
                <c:pt idx="2">
                  <c:v>Three times per week</c:v>
                </c:pt>
                <c:pt idx="3">
                  <c:v>Five times per week</c:v>
                </c:pt>
              </c:strCache>
            </c:strRef>
          </c:cat>
          <c:val>
            <c:numRef>
              <c:f>Sheet1!$U$387:$X$387</c:f>
              <c:numCache>
                <c:formatCode>General</c:formatCode>
                <c:ptCount val="4"/>
                <c:pt idx="0">
                  <c:v>13.565104351740963</c:v>
                </c:pt>
                <c:pt idx="1">
                  <c:v>7.9359626807363481</c:v>
                </c:pt>
                <c:pt idx="2">
                  <c:v>2.2525485132443905</c:v>
                </c:pt>
                <c:pt idx="3">
                  <c:v>1.0366756457171427</c:v>
                </c:pt>
              </c:numCache>
            </c:numRef>
          </c:val>
        </c:ser>
        <c:ser>
          <c:idx val="2"/>
          <c:order val="2"/>
          <c:tx>
            <c:strRef>
              <c:f>Sheet1!$O$388</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Sheet1!$U$385:$X$385</c:f>
              <c:strCache>
                <c:ptCount val="4"/>
                <c:pt idx="0">
                  <c:v>Once per month</c:v>
                </c:pt>
                <c:pt idx="1">
                  <c:v>Once per week</c:v>
                </c:pt>
                <c:pt idx="2">
                  <c:v>Three times per week</c:v>
                </c:pt>
                <c:pt idx="3">
                  <c:v>Five times per week</c:v>
                </c:pt>
              </c:strCache>
            </c:strRef>
          </c:cat>
          <c:val>
            <c:numRef>
              <c:f>Sheet1!$U$388:$X$388</c:f>
              <c:numCache>
                <c:formatCode>General</c:formatCode>
                <c:ptCount val="4"/>
                <c:pt idx="0">
                  <c:v>14.296446239863766</c:v>
                </c:pt>
                <c:pt idx="1">
                  <c:v>8.3944758505087034</c:v>
                </c:pt>
                <c:pt idx="2">
                  <c:v>2.3073810365645797</c:v>
                </c:pt>
                <c:pt idx="3">
                  <c:v>1.0603436138432325</c:v>
                </c:pt>
              </c:numCache>
            </c:numRef>
          </c:val>
        </c:ser>
        <c:ser>
          <c:idx val="3"/>
          <c:order val="3"/>
          <c:tx>
            <c:strRef>
              <c:f>Sheet1!$O$389</c:f>
              <c:strCache>
                <c:ptCount val="1"/>
                <c:pt idx="0">
                  <c:v>Cheshire East</c:v>
                </c:pt>
              </c:strCache>
            </c:strRef>
          </c:tx>
          <c:spPr>
            <a:solidFill>
              <a:schemeClr val="tx1"/>
            </a:solidFill>
          </c:spPr>
          <c:cat>
            <c:strRef>
              <c:f>Sheet1!$U$385:$X$385</c:f>
              <c:strCache>
                <c:ptCount val="4"/>
                <c:pt idx="0">
                  <c:v>Once per month</c:v>
                </c:pt>
                <c:pt idx="1">
                  <c:v>Once per week</c:v>
                </c:pt>
                <c:pt idx="2">
                  <c:v>Three times per week</c:v>
                </c:pt>
                <c:pt idx="3">
                  <c:v>Five times per week</c:v>
                </c:pt>
              </c:strCache>
            </c:strRef>
          </c:cat>
          <c:val>
            <c:numRef>
              <c:f>Sheet1!$U$389:$X$389</c:f>
              <c:numCache>
                <c:formatCode>General</c:formatCode>
                <c:ptCount val="4"/>
                <c:pt idx="0">
                  <c:v>15.868123269718943</c:v>
                </c:pt>
                <c:pt idx="1">
                  <c:v>7.6761960486340124</c:v>
                </c:pt>
                <c:pt idx="2">
                  <c:v>1.0501098032671832</c:v>
                </c:pt>
                <c:pt idx="3">
                  <c:v>0.21253209263587144</c:v>
                </c:pt>
              </c:numCache>
            </c:numRef>
          </c:val>
        </c:ser>
        <c:axId val="155493888"/>
        <c:axId val="155495424"/>
      </c:barChart>
      <c:catAx>
        <c:axId val="155493888"/>
        <c:scaling>
          <c:orientation val="minMax"/>
        </c:scaling>
        <c:axPos val="b"/>
        <c:numFmt formatCode="General" sourceLinked="1"/>
        <c:tickLblPos val="nextTo"/>
        <c:txPr>
          <a:bodyPr/>
          <a:lstStyle/>
          <a:p>
            <a:pPr>
              <a:defRPr sz="800"/>
            </a:pPr>
            <a:endParaRPr lang="en-US"/>
          </a:p>
        </c:txPr>
        <c:crossAx val="155495424"/>
        <c:crosses val="autoZero"/>
        <c:auto val="1"/>
        <c:lblAlgn val="ctr"/>
        <c:lblOffset val="100"/>
      </c:catAx>
      <c:valAx>
        <c:axId val="155495424"/>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5493888"/>
        <c:crosses val="autoZero"/>
        <c:crossBetween val="between"/>
      </c:valAx>
    </c:plotArea>
    <c:legend>
      <c:legendPos val="r"/>
      <c:layout/>
      <c:txPr>
        <a:bodyPr/>
        <a:lstStyle/>
        <a:p>
          <a:pPr>
            <a:defRPr sz="800"/>
          </a:pPr>
          <a:endParaRPr lang="en-US"/>
        </a:p>
      </c:txPr>
    </c:legend>
    <c:plotVisOnly val="1"/>
  </c:chart>
  <c:externalData r:id="rId1"/>
</c:chartSpace>
</file>

<file path=word/charts/chart71.xml><?xml version="1.0" encoding="utf-8"?>
<c:chartSpace xmlns:c="http://schemas.openxmlformats.org/drawingml/2006/chart" xmlns:a="http://schemas.openxmlformats.org/drawingml/2006/main" xmlns:r="http://schemas.openxmlformats.org/officeDocument/2006/relationships">
  <c:lang val="en-GB"/>
  <c:chart>
    <c:title>
      <c:tx>
        <c:strRef>
          <c:f>Sheet1!$Y$385</c:f>
          <c:strCache>
            <c:ptCount val="1"/>
            <c:pt idx="0">
              <c:v>Proportion of adults that cycle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Sheet1!$Z$385:$AC$385</c:f>
              <c:strCache>
                <c:ptCount val="4"/>
                <c:pt idx="0">
                  <c:v>Once per month</c:v>
                </c:pt>
                <c:pt idx="1">
                  <c:v>Once per week</c:v>
                </c:pt>
                <c:pt idx="2">
                  <c:v>Three times per week</c:v>
                </c:pt>
                <c:pt idx="3">
                  <c:v>Five times per week</c:v>
                </c:pt>
              </c:strCache>
            </c:strRef>
          </c:cat>
          <c:val>
            <c:numRef>
              <c:f>Sheet1!$Z$386:$AC$386</c:f>
              <c:numCache>
                <c:formatCode>General</c:formatCode>
                <c:ptCount val="4"/>
                <c:pt idx="0">
                  <c:v>6.7852956193061544</c:v>
                </c:pt>
                <c:pt idx="1">
                  <c:v>4.8736204074001037</c:v>
                </c:pt>
                <c:pt idx="2">
                  <c:v>2.161953576697305</c:v>
                </c:pt>
                <c:pt idx="3">
                  <c:v>1.1929432328894456</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Sheet1!$Z$385:$AC$385</c:f>
              <c:strCache>
                <c:ptCount val="4"/>
                <c:pt idx="0">
                  <c:v>Once per month</c:v>
                </c:pt>
                <c:pt idx="1">
                  <c:v>Once per week</c:v>
                </c:pt>
                <c:pt idx="2">
                  <c:v>Three times per week</c:v>
                </c:pt>
                <c:pt idx="3">
                  <c:v>Five times per week</c:v>
                </c:pt>
              </c:strCache>
            </c:strRef>
          </c:cat>
          <c:val>
            <c:numRef>
              <c:f>Sheet1!$Z$387:$AC$387</c:f>
              <c:numCache>
                <c:formatCode>General</c:formatCode>
                <c:ptCount val="4"/>
                <c:pt idx="0">
                  <c:v>8.9753766699644277</c:v>
                </c:pt>
                <c:pt idx="1">
                  <c:v>7.0033647463668567</c:v>
                </c:pt>
                <c:pt idx="2">
                  <c:v>3.8270432358187976</c:v>
                </c:pt>
                <c:pt idx="3">
                  <c:v>2.4392979269362836</c:v>
                </c:pt>
              </c:numCache>
            </c:numRef>
          </c:val>
        </c:ser>
        <c:ser>
          <c:idx val="2"/>
          <c:order val="2"/>
          <c:tx>
            <c:strRef>
              <c:f>Sheet1!$O$388</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Sheet1!$Z$385:$AC$385</c:f>
              <c:strCache>
                <c:ptCount val="4"/>
                <c:pt idx="0">
                  <c:v>Once per month</c:v>
                </c:pt>
                <c:pt idx="1">
                  <c:v>Once per week</c:v>
                </c:pt>
                <c:pt idx="2">
                  <c:v>Three times per week</c:v>
                </c:pt>
                <c:pt idx="3">
                  <c:v>Five times per week</c:v>
                </c:pt>
              </c:strCache>
            </c:strRef>
          </c:cat>
          <c:val>
            <c:numRef>
              <c:f>Sheet1!$Z$388:$AC$388</c:f>
              <c:numCache>
                <c:formatCode>General</c:formatCode>
                <c:ptCount val="4"/>
                <c:pt idx="0">
                  <c:v>8.9909239260171443</c:v>
                </c:pt>
                <c:pt idx="1">
                  <c:v>6.899710521673077</c:v>
                </c:pt>
                <c:pt idx="2">
                  <c:v>3.6078434349509161</c:v>
                </c:pt>
                <c:pt idx="3">
                  <c:v>2.2326554081924299</c:v>
                </c:pt>
              </c:numCache>
            </c:numRef>
          </c:val>
        </c:ser>
        <c:ser>
          <c:idx val="3"/>
          <c:order val="3"/>
          <c:tx>
            <c:strRef>
              <c:f>Sheet1!$O$389</c:f>
              <c:strCache>
                <c:ptCount val="1"/>
                <c:pt idx="0">
                  <c:v>Cheshire East</c:v>
                </c:pt>
              </c:strCache>
            </c:strRef>
          </c:tx>
          <c:spPr>
            <a:solidFill>
              <a:schemeClr val="tx1"/>
            </a:solidFill>
          </c:spPr>
          <c:cat>
            <c:strRef>
              <c:f>Sheet1!$Z$385:$AC$385</c:f>
              <c:strCache>
                <c:ptCount val="4"/>
                <c:pt idx="0">
                  <c:v>Once per month</c:v>
                </c:pt>
                <c:pt idx="1">
                  <c:v>Once per week</c:v>
                </c:pt>
                <c:pt idx="2">
                  <c:v>Three times per week</c:v>
                </c:pt>
                <c:pt idx="3">
                  <c:v>Five times per week</c:v>
                </c:pt>
              </c:strCache>
            </c:strRef>
          </c:cat>
          <c:val>
            <c:numRef>
              <c:f>Sheet1!$Z$389:$AC$389</c:f>
              <c:numCache>
                <c:formatCode>General</c:formatCode>
                <c:ptCount val="4"/>
                <c:pt idx="0">
                  <c:v>7.4184133172067899</c:v>
                </c:pt>
                <c:pt idx="1">
                  <c:v>4.0522066335562519</c:v>
                </c:pt>
                <c:pt idx="2">
                  <c:v>1.798190029058832</c:v>
                </c:pt>
                <c:pt idx="3">
                  <c:v>0.91978404546242643</c:v>
                </c:pt>
              </c:numCache>
            </c:numRef>
          </c:val>
        </c:ser>
        <c:axId val="155608960"/>
        <c:axId val="155610496"/>
      </c:barChart>
      <c:catAx>
        <c:axId val="155608960"/>
        <c:scaling>
          <c:orientation val="minMax"/>
        </c:scaling>
        <c:axPos val="b"/>
        <c:numFmt formatCode="General" sourceLinked="1"/>
        <c:tickLblPos val="nextTo"/>
        <c:txPr>
          <a:bodyPr/>
          <a:lstStyle/>
          <a:p>
            <a:pPr>
              <a:defRPr sz="800"/>
            </a:pPr>
            <a:endParaRPr lang="en-US"/>
          </a:p>
        </c:txPr>
        <c:crossAx val="155610496"/>
        <c:crosses val="autoZero"/>
        <c:auto val="1"/>
        <c:lblAlgn val="ctr"/>
        <c:lblOffset val="100"/>
      </c:catAx>
      <c:valAx>
        <c:axId val="155610496"/>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5608960"/>
        <c:crosses val="autoZero"/>
        <c:crossBetween val="between"/>
      </c:valAx>
    </c:plotArea>
    <c:legend>
      <c:legendPos val="r"/>
      <c:layout/>
      <c:txPr>
        <a:bodyPr/>
        <a:lstStyle/>
        <a:p>
          <a:pPr>
            <a:defRPr sz="800"/>
          </a:pPr>
          <a:endParaRPr lang="en-US"/>
        </a:p>
      </c:txPr>
    </c:legend>
    <c:plotVisOnly val="1"/>
  </c:chart>
  <c:externalData r:id="rId1"/>
</c:chartSpace>
</file>

<file path=word/charts/chart72.xml><?xml version="1.0" encoding="utf-8"?>
<c:chartSpace xmlns:c="http://schemas.openxmlformats.org/drawingml/2006/chart" xmlns:a="http://schemas.openxmlformats.org/drawingml/2006/main" xmlns:r="http://schemas.openxmlformats.org/officeDocument/2006/relationships">
  <c:lang val="en-GB"/>
  <c:chart>
    <c:title>
      <c:tx>
        <c:strRef>
          <c:f>Sheet1!$AI$385</c:f>
          <c:strCache>
            <c:ptCount val="1"/>
            <c:pt idx="0">
              <c:v>Proportion of adults that walk,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Sheet1!$AJ$385:$AM$385</c:f>
              <c:strCache>
                <c:ptCount val="4"/>
                <c:pt idx="0">
                  <c:v>Once per month</c:v>
                </c:pt>
                <c:pt idx="1">
                  <c:v>Once per week</c:v>
                </c:pt>
                <c:pt idx="2">
                  <c:v>Three times per week</c:v>
                </c:pt>
                <c:pt idx="3">
                  <c:v>Five times per week</c:v>
                </c:pt>
              </c:strCache>
            </c:strRef>
          </c:cat>
          <c:val>
            <c:numRef>
              <c:f>Sheet1!$AJ$386:$AM$386</c:f>
              <c:numCache>
                <c:formatCode>General</c:formatCode>
                <c:ptCount val="4"/>
                <c:pt idx="0">
                  <c:v>78.204063931631495</c:v>
                </c:pt>
                <c:pt idx="1">
                  <c:v>68.4475566894683</c:v>
                </c:pt>
                <c:pt idx="2">
                  <c:v>41.724010409306075</c:v>
                </c:pt>
                <c:pt idx="3">
                  <c:v>30.361184286907054</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Sheet1!$AJ$385:$AM$385</c:f>
              <c:strCache>
                <c:ptCount val="4"/>
                <c:pt idx="0">
                  <c:v>Once per month</c:v>
                </c:pt>
                <c:pt idx="1">
                  <c:v>Once per week</c:v>
                </c:pt>
                <c:pt idx="2">
                  <c:v>Three times per week</c:v>
                </c:pt>
                <c:pt idx="3">
                  <c:v>Five times per week</c:v>
                </c:pt>
              </c:strCache>
            </c:strRef>
          </c:cat>
          <c:val>
            <c:numRef>
              <c:f>Sheet1!$AJ$387:$AM$387</c:f>
              <c:numCache>
                <c:formatCode>General</c:formatCode>
                <c:ptCount val="4"/>
                <c:pt idx="0">
                  <c:v>77.1489125663431</c:v>
                </c:pt>
                <c:pt idx="1">
                  <c:v>68.037849743348602</c:v>
                </c:pt>
                <c:pt idx="2">
                  <c:v>41.81790855528034</c:v>
                </c:pt>
                <c:pt idx="3">
                  <c:v>30.858610973818408</c:v>
                </c:pt>
              </c:numCache>
            </c:numRef>
          </c:val>
        </c:ser>
        <c:ser>
          <c:idx val="2"/>
          <c:order val="2"/>
          <c:tx>
            <c:strRef>
              <c:f>Sheet1!$AI$388</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Sheet1!$AJ$385:$AM$385</c:f>
              <c:strCache>
                <c:ptCount val="4"/>
                <c:pt idx="0">
                  <c:v>Once per month</c:v>
                </c:pt>
                <c:pt idx="1">
                  <c:v>Once per week</c:v>
                </c:pt>
                <c:pt idx="2">
                  <c:v>Three times per week</c:v>
                </c:pt>
                <c:pt idx="3">
                  <c:v>Five times per week</c:v>
                </c:pt>
              </c:strCache>
            </c:strRef>
          </c:cat>
          <c:val>
            <c:numRef>
              <c:f>Sheet1!$AJ$388:$AM$388</c:f>
              <c:numCache>
                <c:formatCode>General</c:formatCode>
                <c:ptCount val="4"/>
                <c:pt idx="0">
                  <c:v>77.242705533637519</c:v>
                </c:pt>
                <c:pt idx="1">
                  <c:v>67.817503348747437</c:v>
                </c:pt>
                <c:pt idx="2">
                  <c:v>41.125922770947206</c:v>
                </c:pt>
                <c:pt idx="3">
                  <c:v>30.272871392797136</c:v>
                </c:pt>
              </c:numCache>
            </c:numRef>
          </c:val>
        </c:ser>
        <c:ser>
          <c:idx val="3"/>
          <c:order val="3"/>
          <c:tx>
            <c:strRef>
              <c:f>Sheet1!$AI$389</c:f>
              <c:strCache>
                <c:ptCount val="1"/>
                <c:pt idx="0">
                  <c:v>Cheshire East</c:v>
                </c:pt>
              </c:strCache>
            </c:strRef>
          </c:tx>
          <c:spPr>
            <a:solidFill>
              <a:schemeClr val="tx1"/>
            </a:solidFill>
          </c:spPr>
          <c:cat>
            <c:strRef>
              <c:f>Sheet1!$AJ$385:$AM$385</c:f>
              <c:strCache>
                <c:ptCount val="4"/>
                <c:pt idx="0">
                  <c:v>Once per month</c:v>
                </c:pt>
                <c:pt idx="1">
                  <c:v>Once per week</c:v>
                </c:pt>
                <c:pt idx="2">
                  <c:v>Three times per week</c:v>
                </c:pt>
                <c:pt idx="3">
                  <c:v>Five times per week</c:v>
                </c:pt>
              </c:strCache>
            </c:strRef>
          </c:cat>
          <c:val>
            <c:numRef>
              <c:f>Sheet1!$AJ$389:$AM$389</c:f>
              <c:numCache>
                <c:formatCode>General</c:formatCode>
                <c:ptCount val="4"/>
                <c:pt idx="0">
                  <c:v>77.957358959401176</c:v>
                </c:pt>
                <c:pt idx="1">
                  <c:v>66.359482562408786</c:v>
                </c:pt>
                <c:pt idx="2">
                  <c:v>34.062588809309638</c:v>
                </c:pt>
                <c:pt idx="3">
                  <c:v>23.909857712682065</c:v>
                </c:pt>
              </c:numCache>
            </c:numRef>
          </c:val>
        </c:ser>
        <c:axId val="155728128"/>
        <c:axId val="155738112"/>
      </c:barChart>
      <c:catAx>
        <c:axId val="155728128"/>
        <c:scaling>
          <c:orientation val="minMax"/>
        </c:scaling>
        <c:axPos val="b"/>
        <c:numFmt formatCode="General" sourceLinked="1"/>
        <c:tickLblPos val="nextTo"/>
        <c:txPr>
          <a:bodyPr/>
          <a:lstStyle/>
          <a:p>
            <a:pPr>
              <a:defRPr sz="800"/>
            </a:pPr>
            <a:endParaRPr lang="en-US"/>
          </a:p>
        </c:txPr>
        <c:crossAx val="155738112"/>
        <c:crosses val="autoZero"/>
        <c:auto val="1"/>
        <c:lblAlgn val="ctr"/>
        <c:lblOffset val="100"/>
      </c:catAx>
      <c:valAx>
        <c:axId val="155738112"/>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5728128"/>
        <c:crosses val="autoZero"/>
        <c:crossBetween val="between"/>
      </c:valAx>
    </c:plotArea>
    <c:legend>
      <c:legendPos val="r"/>
      <c:layout/>
      <c:txPr>
        <a:bodyPr/>
        <a:lstStyle/>
        <a:p>
          <a:pPr>
            <a:defRPr sz="800"/>
          </a:pPr>
          <a:endParaRPr lang="en-US"/>
        </a:p>
      </c:txPr>
    </c:legend>
    <c:plotVisOnly val="1"/>
  </c:chart>
  <c:externalData r:id="rId1"/>
</c:chartSpace>
</file>

<file path=word/charts/chart73.xml><?xml version="1.0" encoding="utf-8"?>
<c:chartSpace xmlns:c="http://schemas.openxmlformats.org/drawingml/2006/chart" xmlns:a="http://schemas.openxmlformats.org/drawingml/2006/main" xmlns:r="http://schemas.openxmlformats.org/officeDocument/2006/relationships">
  <c:lang val="en-GB"/>
  <c:chart>
    <c:title>
      <c:tx>
        <c:strRef>
          <c:f>Sheet1!$AN$385</c:f>
          <c:strCache>
            <c:ptCount val="1"/>
            <c:pt idx="0">
              <c:v>Proportion of adults that walk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Sheet1!$AO$385:$AR$385</c:f>
              <c:strCache>
                <c:ptCount val="4"/>
                <c:pt idx="0">
                  <c:v>Once per month</c:v>
                </c:pt>
                <c:pt idx="1">
                  <c:v>Once per week</c:v>
                </c:pt>
                <c:pt idx="2">
                  <c:v>Three times per week</c:v>
                </c:pt>
                <c:pt idx="3">
                  <c:v>Five times per week</c:v>
                </c:pt>
              </c:strCache>
            </c:strRef>
          </c:cat>
          <c:val>
            <c:numRef>
              <c:f>Sheet1!$AO$386:$AR$386</c:f>
              <c:numCache>
                <c:formatCode>General</c:formatCode>
                <c:ptCount val="4"/>
                <c:pt idx="0">
                  <c:v>67.718310441885734</c:v>
                </c:pt>
                <c:pt idx="1">
                  <c:v>54.125095296580014</c:v>
                </c:pt>
                <c:pt idx="2">
                  <c:v>26.077564539991837</c:v>
                </c:pt>
                <c:pt idx="3">
                  <c:v>18.987199258990689</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Sheet1!$AO$385:$AR$385</c:f>
              <c:strCache>
                <c:ptCount val="4"/>
                <c:pt idx="0">
                  <c:v>Once per month</c:v>
                </c:pt>
                <c:pt idx="1">
                  <c:v>Once per week</c:v>
                </c:pt>
                <c:pt idx="2">
                  <c:v>Three times per week</c:v>
                </c:pt>
                <c:pt idx="3">
                  <c:v>Five times per week</c:v>
                </c:pt>
              </c:strCache>
            </c:strRef>
          </c:cat>
          <c:val>
            <c:numRef>
              <c:f>Sheet1!$AO$387:$AR$387</c:f>
              <c:numCache>
                <c:formatCode>General</c:formatCode>
                <c:ptCount val="4"/>
                <c:pt idx="0">
                  <c:v>59.065876996045183</c:v>
                </c:pt>
                <c:pt idx="1">
                  <c:v>45.473244831926806</c:v>
                </c:pt>
                <c:pt idx="2">
                  <c:v>19.132862874839049</c:v>
                </c:pt>
                <c:pt idx="3">
                  <c:v>13.494032567019296</c:v>
                </c:pt>
              </c:numCache>
            </c:numRef>
          </c:val>
        </c:ser>
        <c:ser>
          <c:idx val="2"/>
          <c:order val="2"/>
          <c:tx>
            <c:strRef>
              <c:f>Sheet1!$AI$388</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Sheet1!$AO$385:$AR$385</c:f>
              <c:strCache>
                <c:ptCount val="4"/>
                <c:pt idx="0">
                  <c:v>Once per month</c:v>
                </c:pt>
                <c:pt idx="1">
                  <c:v>Once per week</c:v>
                </c:pt>
                <c:pt idx="2">
                  <c:v>Three times per week</c:v>
                </c:pt>
                <c:pt idx="3">
                  <c:v>Five times per week</c:v>
                </c:pt>
              </c:strCache>
            </c:strRef>
          </c:cat>
          <c:val>
            <c:numRef>
              <c:f>Sheet1!$AO$388:$AR$388</c:f>
              <c:numCache>
                <c:formatCode>General</c:formatCode>
                <c:ptCount val="4"/>
                <c:pt idx="0">
                  <c:v>61.515770606228017</c:v>
                </c:pt>
                <c:pt idx="1">
                  <c:v>48.224039336967245</c:v>
                </c:pt>
                <c:pt idx="2">
                  <c:v>21.583537063732926</c:v>
                </c:pt>
                <c:pt idx="3">
                  <c:v>15.338339286003693</c:v>
                </c:pt>
              </c:numCache>
            </c:numRef>
          </c:val>
        </c:ser>
        <c:ser>
          <c:idx val="3"/>
          <c:order val="3"/>
          <c:tx>
            <c:strRef>
              <c:f>Sheet1!$AI$389</c:f>
              <c:strCache>
                <c:ptCount val="1"/>
                <c:pt idx="0">
                  <c:v>Cheshire East</c:v>
                </c:pt>
              </c:strCache>
            </c:strRef>
          </c:tx>
          <c:spPr>
            <a:solidFill>
              <a:schemeClr val="tx1"/>
            </a:solidFill>
          </c:spPr>
          <c:cat>
            <c:strRef>
              <c:f>Sheet1!$AO$385:$AR$385</c:f>
              <c:strCache>
                <c:ptCount val="4"/>
                <c:pt idx="0">
                  <c:v>Once per month</c:v>
                </c:pt>
                <c:pt idx="1">
                  <c:v>Once per week</c:v>
                </c:pt>
                <c:pt idx="2">
                  <c:v>Three times per week</c:v>
                </c:pt>
                <c:pt idx="3">
                  <c:v>Five times per week</c:v>
                </c:pt>
              </c:strCache>
            </c:strRef>
          </c:cat>
          <c:val>
            <c:numRef>
              <c:f>Sheet1!$AO$389:$AR$389</c:f>
              <c:numCache>
                <c:formatCode>General</c:formatCode>
                <c:ptCount val="4"/>
                <c:pt idx="0">
                  <c:v>64.967410780721636</c:v>
                </c:pt>
                <c:pt idx="1">
                  <c:v>52.262233965685532</c:v>
                </c:pt>
                <c:pt idx="2">
                  <c:v>20.97513873660337</c:v>
                </c:pt>
                <c:pt idx="3">
                  <c:v>15.139004946003817</c:v>
                </c:pt>
              </c:numCache>
            </c:numRef>
          </c:val>
        </c:ser>
        <c:axId val="155761280"/>
        <c:axId val="155652480"/>
      </c:barChart>
      <c:catAx>
        <c:axId val="155761280"/>
        <c:scaling>
          <c:orientation val="minMax"/>
        </c:scaling>
        <c:axPos val="b"/>
        <c:numFmt formatCode="General" sourceLinked="1"/>
        <c:tickLblPos val="nextTo"/>
        <c:txPr>
          <a:bodyPr/>
          <a:lstStyle/>
          <a:p>
            <a:pPr>
              <a:defRPr sz="800"/>
            </a:pPr>
            <a:endParaRPr lang="en-US"/>
          </a:p>
        </c:txPr>
        <c:crossAx val="155652480"/>
        <c:crosses val="autoZero"/>
        <c:auto val="1"/>
        <c:lblAlgn val="ctr"/>
        <c:lblOffset val="100"/>
      </c:catAx>
      <c:valAx>
        <c:axId val="155652480"/>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5761280"/>
        <c:crosses val="autoZero"/>
        <c:crossBetween val="between"/>
      </c:valAx>
    </c:plotArea>
    <c:legend>
      <c:legendPos val="r"/>
      <c:layout/>
      <c:txPr>
        <a:bodyPr/>
        <a:lstStyle/>
        <a:p>
          <a:pPr>
            <a:defRPr sz="800"/>
          </a:pPr>
          <a:endParaRPr lang="en-US"/>
        </a:p>
      </c:txPr>
    </c:legend>
    <c:plotVisOnly val="1"/>
  </c:chart>
  <c:externalData r:id="rId1"/>
</c:chartSpace>
</file>

<file path=word/charts/chart74.xml><?xml version="1.0" encoding="utf-8"?>
<c:chartSpace xmlns:c="http://schemas.openxmlformats.org/drawingml/2006/chart" xmlns:a="http://schemas.openxmlformats.org/drawingml/2006/main" xmlns:r="http://schemas.openxmlformats.org/officeDocument/2006/relationships">
  <c:lang val="en-GB"/>
  <c:chart>
    <c:title>
      <c:tx>
        <c:strRef>
          <c:f>Sheet1!$AS$385</c:f>
          <c:strCache>
            <c:ptCount val="1"/>
            <c:pt idx="0">
              <c:v>Proportion of adults that walk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Sheet1!$AT$385:$AW$385</c:f>
              <c:strCache>
                <c:ptCount val="4"/>
                <c:pt idx="0">
                  <c:v>Once per month</c:v>
                </c:pt>
                <c:pt idx="1">
                  <c:v>Once per week</c:v>
                </c:pt>
                <c:pt idx="2">
                  <c:v>Three times per week</c:v>
                </c:pt>
                <c:pt idx="3">
                  <c:v>Five times per week</c:v>
                </c:pt>
              </c:strCache>
            </c:strRef>
          </c:cat>
          <c:val>
            <c:numRef>
              <c:f>Sheet1!$AT$386:$AW$386</c:f>
              <c:numCache>
                <c:formatCode>General</c:formatCode>
                <c:ptCount val="4"/>
                <c:pt idx="0">
                  <c:v>40.066472936355098</c:v>
                </c:pt>
                <c:pt idx="1">
                  <c:v>32.954781385047923</c:v>
                </c:pt>
                <c:pt idx="2">
                  <c:v>16.71911051667453</c:v>
                </c:pt>
                <c:pt idx="3">
                  <c:v>11.698243097149177</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Sheet1!$AT$385:$AW$385</c:f>
              <c:strCache>
                <c:ptCount val="4"/>
                <c:pt idx="0">
                  <c:v>Once per month</c:v>
                </c:pt>
                <c:pt idx="1">
                  <c:v>Once per week</c:v>
                </c:pt>
                <c:pt idx="2">
                  <c:v>Three times per week</c:v>
                </c:pt>
                <c:pt idx="3">
                  <c:v>Five times per week</c:v>
                </c:pt>
              </c:strCache>
            </c:strRef>
          </c:cat>
          <c:val>
            <c:numRef>
              <c:f>Sheet1!$AT$387:$AW$387</c:f>
              <c:numCache>
                <c:formatCode>General</c:formatCode>
                <c:ptCount val="4"/>
                <c:pt idx="0">
                  <c:v>51.436230705487397</c:v>
                </c:pt>
                <c:pt idx="1">
                  <c:v>43.659457647253603</c:v>
                </c:pt>
                <c:pt idx="2">
                  <c:v>24.035133552391343</c:v>
                </c:pt>
                <c:pt idx="3">
                  <c:v>17.6897812600333</c:v>
                </c:pt>
              </c:numCache>
            </c:numRef>
          </c:val>
        </c:ser>
        <c:ser>
          <c:idx val="2"/>
          <c:order val="2"/>
          <c:tx>
            <c:strRef>
              <c:f>Sheet1!$AI$388</c:f>
              <c:strCache>
                <c:ptCount val="1"/>
                <c:pt idx="0">
                  <c:v>Unitary Authority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Sheet1!$AT$385:$AW$385</c:f>
              <c:strCache>
                <c:ptCount val="4"/>
                <c:pt idx="0">
                  <c:v>Once per month</c:v>
                </c:pt>
                <c:pt idx="1">
                  <c:v>Once per week</c:v>
                </c:pt>
                <c:pt idx="2">
                  <c:v>Three times per week</c:v>
                </c:pt>
                <c:pt idx="3">
                  <c:v>Five times per week</c:v>
                </c:pt>
              </c:strCache>
            </c:strRef>
          </c:cat>
          <c:val>
            <c:numRef>
              <c:f>Sheet1!$AT$388:$AW$388</c:f>
              <c:numCache>
                <c:formatCode>General</c:formatCode>
                <c:ptCount val="4"/>
                <c:pt idx="0">
                  <c:v>46.728169398067564</c:v>
                </c:pt>
                <c:pt idx="1">
                  <c:v>39.108098500978492</c:v>
                </c:pt>
                <c:pt idx="2">
                  <c:v>20.815040416319583</c:v>
                </c:pt>
                <c:pt idx="3">
                  <c:v>15.2747236372291</c:v>
                </c:pt>
              </c:numCache>
            </c:numRef>
          </c:val>
        </c:ser>
        <c:ser>
          <c:idx val="3"/>
          <c:order val="3"/>
          <c:tx>
            <c:strRef>
              <c:f>Sheet1!$AI$389</c:f>
              <c:strCache>
                <c:ptCount val="1"/>
                <c:pt idx="0">
                  <c:v>Cheshire East</c:v>
                </c:pt>
              </c:strCache>
            </c:strRef>
          </c:tx>
          <c:spPr>
            <a:solidFill>
              <a:schemeClr val="tx1"/>
            </a:solidFill>
          </c:spPr>
          <c:cat>
            <c:strRef>
              <c:f>Sheet1!$AT$385:$AW$385</c:f>
              <c:strCache>
                <c:ptCount val="4"/>
                <c:pt idx="0">
                  <c:v>Once per month</c:v>
                </c:pt>
                <c:pt idx="1">
                  <c:v>Once per week</c:v>
                </c:pt>
                <c:pt idx="2">
                  <c:v>Three times per week</c:v>
                </c:pt>
                <c:pt idx="3">
                  <c:v>Five times per week</c:v>
                </c:pt>
              </c:strCache>
            </c:strRef>
          </c:cat>
          <c:val>
            <c:numRef>
              <c:f>Sheet1!$AT$389:$AW$389</c:f>
              <c:numCache>
                <c:formatCode>General</c:formatCode>
                <c:ptCount val="4"/>
                <c:pt idx="0">
                  <c:v>44.81986405401414</c:v>
                </c:pt>
                <c:pt idx="1">
                  <c:v>35.001020963262256</c:v>
                </c:pt>
                <c:pt idx="2">
                  <c:v>12.456812297600699</c:v>
                </c:pt>
                <c:pt idx="3">
                  <c:v>9.0131239529929168</c:v>
                </c:pt>
              </c:numCache>
            </c:numRef>
          </c:val>
        </c:ser>
        <c:axId val="155782144"/>
        <c:axId val="155783936"/>
      </c:barChart>
      <c:catAx>
        <c:axId val="155782144"/>
        <c:scaling>
          <c:orientation val="minMax"/>
        </c:scaling>
        <c:axPos val="b"/>
        <c:numFmt formatCode="General" sourceLinked="1"/>
        <c:tickLblPos val="nextTo"/>
        <c:txPr>
          <a:bodyPr/>
          <a:lstStyle/>
          <a:p>
            <a:pPr>
              <a:defRPr sz="800"/>
            </a:pPr>
            <a:endParaRPr lang="en-US"/>
          </a:p>
        </c:txPr>
        <c:crossAx val="155783936"/>
        <c:crosses val="autoZero"/>
        <c:auto val="1"/>
        <c:lblAlgn val="ctr"/>
        <c:lblOffset val="100"/>
      </c:catAx>
      <c:valAx>
        <c:axId val="155783936"/>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55782144"/>
        <c:crosses val="autoZero"/>
        <c:crossBetween val="between"/>
      </c:valAx>
    </c:plotArea>
    <c:legend>
      <c:legendPos val="r"/>
      <c:layout/>
      <c:txPr>
        <a:bodyPr/>
        <a:lstStyle/>
        <a:p>
          <a:pPr>
            <a:defRPr sz="800"/>
          </a:pPr>
          <a:endParaRPr lang="en-US"/>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GB"/>
  <c:chart>
    <c:title>
      <c:tx>
        <c:strRef>
          <c:f>Sheet1!$CE$379</c:f>
          <c:strCache>
            <c:ptCount val="1"/>
            <c:pt idx="0">
              <c:v>Travel time to nearest employment centre with at least 5000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Sheet1!$CF$379:$CH$379</c:f>
              <c:numCache>
                <c:formatCode>General</c:formatCode>
                <c:ptCount val="3"/>
                <c:pt idx="0">
                  <c:v>2014</c:v>
                </c:pt>
                <c:pt idx="1">
                  <c:v>2015</c:v>
                </c:pt>
                <c:pt idx="2">
                  <c:v>2016</c:v>
                </c:pt>
              </c:numCache>
            </c:numRef>
          </c:cat>
          <c:val>
            <c:numRef>
              <c:f>Sheet1!$CF$380:$CH$380</c:f>
              <c:numCache>
                <c:formatCode>General</c:formatCode>
                <c:ptCount val="3"/>
                <c:pt idx="0">
                  <c:v>66.120216711379442</c:v>
                </c:pt>
                <c:pt idx="1">
                  <c:v>64.780036590800279</c:v>
                </c:pt>
                <c:pt idx="2">
                  <c:v>65.104492785585478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Sheet1!$CF$379:$CH$379</c:f>
              <c:numCache>
                <c:formatCode>General</c:formatCode>
                <c:ptCount val="3"/>
                <c:pt idx="0">
                  <c:v>2014</c:v>
                </c:pt>
                <c:pt idx="1">
                  <c:v>2015</c:v>
                </c:pt>
                <c:pt idx="2">
                  <c:v>2016</c:v>
                </c:pt>
              </c:numCache>
            </c:numRef>
          </c:cat>
          <c:val>
            <c:numRef>
              <c:f>Sheet1!$CF$381:$CH$381</c:f>
              <c:numCache>
                <c:formatCode>General</c:formatCode>
                <c:ptCount val="3"/>
                <c:pt idx="0">
                  <c:v>23.231280367915925</c:v>
                </c:pt>
                <c:pt idx="1">
                  <c:v>23.067567015284308</c:v>
                </c:pt>
                <c:pt idx="2">
                  <c:v>24.670732477287824</c:v>
                </c:pt>
              </c:numCache>
            </c:numRef>
          </c:val>
        </c:ser>
        <c:ser>
          <c:idx val="3"/>
          <c:order val="2"/>
          <c:tx>
            <c:strRef>
              <c:f>Sheet1!$CE$382</c:f>
              <c:strCache>
                <c:ptCount val="1"/>
                <c:pt idx="0">
                  <c:v>Unitary Authority average</c:v>
                </c:pt>
              </c:strCache>
            </c:strRef>
          </c:tx>
          <c:spPr>
            <a:ln w="25400">
              <a:solidFill>
                <a:schemeClr val="accent1">
                  <a:lumMod val="40000"/>
                  <a:lumOff val="60000"/>
                </a:schemeClr>
              </a:solidFill>
              <a:prstDash val="sysDot"/>
            </a:ln>
          </c:spPr>
          <c:marker>
            <c:symbol val="none"/>
          </c:marker>
          <c:cat>
            <c:numRef>
              <c:f>Sheet1!$CF$379:$CH$379</c:f>
              <c:numCache>
                <c:formatCode>General</c:formatCode>
                <c:ptCount val="3"/>
                <c:pt idx="0">
                  <c:v>2014</c:v>
                </c:pt>
                <c:pt idx="1">
                  <c:v>2015</c:v>
                </c:pt>
                <c:pt idx="2">
                  <c:v>2016</c:v>
                </c:pt>
              </c:numCache>
            </c:numRef>
          </c:cat>
          <c:val>
            <c:numRef>
              <c:f>Sheet1!$CF$382:$CH$382</c:f>
              <c:numCache>
                <c:formatCode>General</c:formatCode>
                <c:ptCount val="3"/>
                <c:pt idx="0">
                  <c:v>29.842362159215103</c:v>
                </c:pt>
                <c:pt idx="1">
                  <c:v>30.042038872960518</c:v>
                </c:pt>
                <c:pt idx="2">
                  <c:v>30.751995828628235</c:v>
                </c:pt>
              </c:numCache>
            </c:numRef>
          </c:val>
        </c:ser>
        <c:ser>
          <c:idx val="4"/>
          <c:order val="3"/>
          <c:tx>
            <c:strRef>
              <c:f>Sheet1!$CE$383</c:f>
              <c:strCache>
                <c:ptCount val="1"/>
                <c:pt idx="0">
                  <c:v>Cheshire East</c:v>
                </c:pt>
              </c:strCache>
            </c:strRef>
          </c:tx>
          <c:spPr>
            <a:ln w="25400">
              <a:solidFill>
                <a:schemeClr val="tx1"/>
              </a:solidFill>
            </a:ln>
          </c:spPr>
          <c:marker>
            <c:symbol val="none"/>
          </c:marker>
          <c:cat>
            <c:numRef>
              <c:f>Sheet1!$CF$379:$CH$379</c:f>
              <c:numCache>
                <c:formatCode>General</c:formatCode>
                <c:ptCount val="3"/>
                <c:pt idx="0">
                  <c:v>2014</c:v>
                </c:pt>
                <c:pt idx="1">
                  <c:v>2015</c:v>
                </c:pt>
                <c:pt idx="2">
                  <c:v>2016</c:v>
                </c:pt>
              </c:numCache>
            </c:numRef>
          </c:cat>
          <c:val>
            <c:numRef>
              <c:f>Sheet1!$CF$383:$CH$383</c:f>
              <c:numCache>
                <c:formatCode>General</c:formatCode>
                <c:ptCount val="3"/>
                <c:pt idx="0">
                  <c:v>28.786187943880886</c:v>
                </c:pt>
                <c:pt idx="1">
                  <c:v>28.704440090546488</c:v>
                </c:pt>
                <c:pt idx="2">
                  <c:v>28.595656701305586</c:v>
                </c:pt>
              </c:numCache>
            </c:numRef>
          </c:val>
        </c:ser>
        <c:marker val="1"/>
        <c:axId val="152647936"/>
        <c:axId val="152657920"/>
      </c:lineChart>
      <c:catAx>
        <c:axId val="152647936"/>
        <c:scaling>
          <c:orientation val="minMax"/>
        </c:scaling>
        <c:axPos val="b"/>
        <c:numFmt formatCode="General" sourceLinked="1"/>
        <c:tickLblPos val="nextTo"/>
        <c:crossAx val="152657920"/>
        <c:crosses val="autoZero"/>
        <c:auto val="1"/>
        <c:lblAlgn val="ctr"/>
        <c:lblOffset val="100"/>
      </c:catAx>
      <c:valAx>
        <c:axId val="152657920"/>
        <c:scaling>
          <c:orientation val="minMax"/>
        </c:scaling>
        <c:axPos val="l"/>
        <c:majorGridlines/>
        <c:title>
          <c:tx>
            <c:strRef>
              <c:f>Sheet1!$CE$384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2647936"/>
        <c:crosses val="autoZero"/>
        <c:crossBetween val="between"/>
      </c:valAx>
    </c:plotArea>
    <c:legend>
      <c:legendPos val="r"/>
      <c:txPr>
        <a:bodyPr/>
        <a:lstStyle/>
        <a:p>
          <a:pPr>
            <a:defRPr sz="800"/>
          </a:pPr>
          <a:endParaRPr lang="en-US"/>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GB"/>
  <c:chart>
    <c:title>
      <c:tx>
        <c:strRef>
          <c:f>Sheet1!$CP$379</c:f>
          <c:strCache>
            <c:ptCount val="1"/>
            <c:pt idx="0">
              <c:v>Travel time to nearest employment centre with at least 5000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Sheet1!$CQ$379:$CS$379</c:f>
              <c:numCache>
                <c:formatCode>General</c:formatCode>
                <c:ptCount val="3"/>
                <c:pt idx="0">
                  <c:v>2014</c:v>
                </c:pt>
                <c:pt idx="1">
                  <c:v>2015</c:v>
                </c:pt>
                <c:pt idx="2">
                  <c:v>2016</c:v>
                </c:pt>
              </c:numCache>
            </c:numRef>
          </c:cat>
          <c:val>
            <c:numRef>
              <c:f>Sheet1!$CQ$380:$CS$380</c:f>
              <c:numCache>
                <c:formatCode>General</c:formatCode>
                <c:ptCount val="3"/>
                <c:pt idx="0">
                  <c:v>26.154033932541719</c:v>
                </c:pt>
                <c:pt idx="1">
                  <c:v>26.432096574325495</c:v>
                </c:pt>
                <c:pt idx="2">
                  <c:v>27.062328790036478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Sheet1!$CQ$379:$CS$379</c:f>
              <c:numCache>
                <c:formatCode>General</c:formatCode>
                <c:ptCount val="3"/>
                <c:pt idx="0">
                  <c:v>2014</c:v>
                </c:pt>
                <c:pt idx="1">
                  <c:v>2015</c:v>
                </c:pt>
                <c:pt idx="2">
                  <c:v>2016</c:v>
                </c:pt>
              </c:numCache>
            </c:numRef>
          </c:cat>
          <c:val>
            <c:numRef>
              <c:f>Sheet1!$CQ$381:$CS$381</c:f>
              <c:numCache>
                <c:formatCode>General</c:formatCode>
                <c:ptCount val="3"/>
                <c:pt idx="0">
                  <c:v>14.524026412843073</c:v>
                </c:pt>
                <c:pt idx="1">
                  <c:v>14.087235547679224</c:v>
                </c:pt>
                <c:pt idx="2">
                  <c:v>15.871572265696139</c:v>
                </c:pt>
              </c:numCache>
            </c:numRef>
          </c:val>
        </c:ser>
        <c:ser>
          <c:idx val="3"/>
          <c:order val="2"/>
          <c:tx>
            <c:strRef>
              <c:f>Sheet1!$CE$382</c:f>
              <c:strCache>
                <c:ptCount val="1"/>
                <c:pt idx="0">
                  <c:v>Unitary Authority average</c:v>
                </c:pt>
              </c:strCache>
            </c:strRef>
          </c:tx>
          <c:spPr>
            <a:ln w="25400">
              <a:solidFill>
                <a:schemeClr val="accent1">
                  <a:lumMod val="40000"/>
                  <a:lumOff val="60000"/>
                </a:schemeClr>
              </a:solidFill>
              <a:prstDash val="sysDot"/>
            </a:ln>
          </c:spPr>
          <c:marker>
            <c:symbol val="none"/>
          </c:marker>
          <c:cat>
            <c:numRef>
              <c:f>Sheet1!$CQ$379:$CS$379</c:f>
              <c:numCache>
                <c:formatCode>General</c:formatCode>
                <c:ptCount val="3"/>
                <c:pt idx="0">
                  <c:v>2014</c:v>
                </c:pt>
                <c:pt idx="1">
                  <c:v>2015</c:v>
                </c:pt>
                <c:pt idx="2">
                  <c:v>2016</c:v>
                </c:pt>
              </c:numCache>
            </c:numRef>
          </c:cat>
          <c:val>
            <c:numRef>
              <c:f>Sheet1!$CQ$382:$CS$382</c:f>
              <c:numCache>
                <c:formatCode>General</c:formatCode>
                <c:ptCount val="3"/>
                <c:pt idx="0">
                  <c:v>15.812858578390166</c:v>
                </c:pt>
                <c:pt idx="1">
                  <c:v>15.693929732532633</c:v>
                </c:pt>
                <c:pt idx="2">
                  <c:v>16.697868368663439</c:v>
                </c:pt>
              </c:numCache>
            </c:numRef>
          </c:val>
        </c:ser>
        <c:ser>
          <c:idx val="4"/>
          <c:order val="3"/>
          <c:tx>
            <c:strRef>
              <c:f>Sheet1!$CE$383</c:f>
              <c:strCache>
                <c:ptCount val="1"/>
                <c:pt idx="0">
                  <c:v>Cheshire East</c:v>
                </c:pt>
              </c:strCache>
            </c:strRef>
          </c:tx>
          <c:spPr>
            <a:ln w="25400">
              <a:solidFill>
                <a:schemeClr val="tx1"/>
              </a:solidFill>
            </a:ln>
          </c:spPr>
          <c:marker>
            <c:symbol val="none"/>
          </c:marker>
          <c:cat>
            <c:numRef>
              <c:f>Sheet1!$CQ$379:$CS$379</c:f>
              <c:numCache>
                <c:formatCode>General</c:formatCode>
                <c:ptCount val="3"/>
                <c:pt idx="0">
                  <c:v>2014</c:v>
                </c:pt>
                <c:pt idx="1">
                  <c:v>2015</c:v>
                </c:pt>
                <c:pt idx="2">
                  <c:v>2016</c:v>
                </c:pt>
              </c:numCache>
            </c:numRef>
          </c:cat>
          <c:val>
            <c:numRef>
              <c:f>Sheet1!$CQ$383:$CS$383</c:f>
              <c:numCache>
                <c:formatCode>General</c:formatCode>
                <c:ptCount val="3"/>
                <c:pt idx="0">
                  <c:v>15.6076249171601</c:v>
                </c:pt>
                <c:pt idx="1">
                  <c:v>14.781140632503799</c:v>
                </c:pt>
                <c:pt idx="2">
                  <c:v>15.790611535832801</c:v>
                </c:pt>
              </c:numCache>
            </c:numRef>
          </c:val>
        </c:ser>
        <c:marker val="1"/>
        <c:axId val="152685184"/>
        <c:axId val="152568192"/>
      </c:lineChart>
      <c:catAx>
        <c:axId val="152685184"/>
        <c:scaling>
          <c:orientation val="minMax"/>
        </c:scaling>
        <c:axPos val="b"/>
        <c:numFmt formatCode="General" sourceLinked="1"/>
        <c:tickLblPos val="nextTo"/>
        <c:crossAx val="152568192"/>
        <c:crosses val="autoZero"/>
        <c:auto val="1"/>
        <c:lblAlgn val="ctr"/>
        <c:lblOffset val="100"/>
      </c:catAx>
      <c:valAx>
        <c:axId val="152568192"/>
        <c:scaling>
          <c:orientation val="minMax"/>
        </c:scaling>
        <c:axPos val="l"/>
        <c:majorGridlines/>
        <c:title>
          <c:tx>
            <c:strRef>
              <c:f>Sheet1!$CP$384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2685184"/>
        <c:crosses val="autoZero"/>
        <c:crossBetween val="between"/>
      </c:valAx>
    </c:plotArea>
    <c:legend>
      <c:legendPos val="r"/>
      <c:txPr>
        <a:bodyPr/>
        <a:lstStyle/>
        <a:p>
          <a:pPr>
            <a:defRPr sz="800"/>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E9E1AB-782C-439F-A691-0EC226E90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30</Pages>
  <Words>1424</Words>
  <Characters>8117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10</cp:revision>
  <dcterms:created xsi:type="dcterms:W3CDTF">2018-06-21T14:10:00Z</dcterms:created>
  <dcterms:modified xsi:type="dcterms:W3CDTF">2018-07-16T10:58:00Z</dcterms:modified>
</cp:coreProperties>
</file>