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Override PartName="/word/charts/chart68.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73.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charts/chart71.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Override PartName="/word/charts/chart69.xml" ContentType="application/vnd.openxmlformats-officedocument.drawingml.chart+xml"/>
  <Override PartName="/word/numbering.xml" ContentType="application/vnd.openxmlformats-officedocument.wordprocessingml.numbering+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74.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7907B4">
      <w:r w:rsidRPr="007907B4">
        <w:rPr>
          <w:noProof/>
          <w:lang w:val="en-US" w:eastAsia="zh-TW"/>
        </w:rPr>
        <w:pict>
          <v:shapetype id="_x0000_t202" coordsize="21600,21600" o:spt="202" path="m,l,21600r21600,l21600,xe">
            <v:stroke joinstyle="miter"/>
            <v:path gradientshapeok="t" o:connecttype="rect"/>
          </v:shapetype>
          <v:shape id="_x0000_s1026" type="#_x0000_t202" style="position:absolute;margin-left:10132.5pt;margin-top:0;width:299.8pt;height:123pt;z-index:251660288;mso-position-horizontal:right;mso-position-horizontal-relative:margin;mso-position-vertical:top;mso-position-vertical-relative:margin;mso-width-relative:margin;mso-height-relative:margin" stroked="f">
            <v:textbox style="mso-next-textbox:#_x0000_s1026">
              <w:txbxContent>
                <w:p w:rsidR="00452B0C" w:rsidRPr="006F62FD" w:rsidRDefault="008D77C8" w:rsidP="004D3814">
                  <w:pPr>
                    <w:jc w:val="right"/>
                    <w:rPr>
                      <w:rFonts w:ascii="Segoe UI" w:hAnsi="Segoe UI" w:cs="Segoe UI"/>
                      <w:b/>
                      <w:sz w:val="56"/>
                      <w:szCs w:val="72"/>
                      <w:u w:val="single"/>
                    </w:rPr>
                  </w:pPr>
                  <w:r>
                    <w:rPr>
                      <w:rFonts w:ascii="Segoe UI" w:hAnsi="Segoe UI" w:cs="Segoe UI"/>
                      <w:b/>
                      <w:sz w:val="56"/>
                      <w:szCs w:val="72"/>
                      <w:u w:val="single"/>
                    </w:rPr>
                    <w:t>D</w:t>
                  </w:r>
                  <w:r w:rsidR="00EF4096">
                    <w:rPr>
                      <w:rFonts w:ascii="Segoe UI" w:hAnsi="Segoe UI" w:cs="Segoe UI"/>
                      <w:b/>
                      <w:sz w:val="56"/>
                      <w:szCs w:val="72"/>
                      <w:u w:val="single"/>
                    </w:rPr>
                    <w:t>orset</w:t>
                  </w:r>
                  <w:r w:rsidR="008011D2" w:rsidRPr="006F62FD">
                    <w:rPr>
                      <w:rFonts w:ascii="Segoe UI" w:hAnsi="Segoe UI" w:cs="Segoe UI"/>
                      <w:b/>
                      <w:sz w:val="56"/>
                      <w:szCs w:val="72"/>
                      <w:u w:val="single"/>
                    </w:rPr>
                    <w:t xml:space="preserve"> </w:t>
                  </w:r>
                  <w:r w:rsidR="00452B0C" w:rsidRPr="006F62FD">
                    <w:rPr>
                      <w:rFonts w:ascii="Segoe UI" w:hAnsi="Segoe UI" w:cs="Segoe UI"/>
                      <w:b/>
                      <w:sz w:val="56"/>
                      <w:szCs w:val="72"/>
                      <w:u w:val="single"/>
                    </w:rPr>
                    <w:t>Transport &amp; Travel Profile</w:t>
                  </w: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6"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E60537">
        <w:rPr>
          <w:rFonts w:ascii="Segoe UI" w:hAnsi="Segoe UI" w:cs="Segoe UI"/>
        </w:rPr>
        <w:t>Transport &amp; Travel</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E60537">
        <w:rPr>
          <w:rFonts w:ascii="Segoe UI" w:hAnsi="Segoe UI" w:cs="Segoe UI"/>
        </w:rPr>
        <w:t>transport &amp; travel</w:t>
      </w:r>
      <w:r w:rsidR="00BF0BE9">
        <w:rPr>
          <w:rFonts w:ascii="Segoe UI" w:hAnsi="Segoe UI" w:cs="Segoe UI"/>
        </w:rPr>
        <w:t xml:space="preserve"> 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the </w:t>
      </w:r>
      <w:r w:rsidR="00A02536">
        <w:rPr>
          <w:rFonts w:ascii="Segoe UI" w:hAnsi="Segoe UI" w:cs="Segoe UI"/>
        </w:rPr>
        <w:t>average for the a</w:t>
      </w:r>
      <w:r w:rsidR="009D5C2F">
        <w:rPr>
          <w:rFonts w:ascii="Segoe UI" w:hAnsi="Segoe UI" w:cs="Segoe UI"/>
        </w:rPr>
        <w:t>uthority class and for the Predominantly Rural and Urban</w:t>
      </w:r>
      <w:r w:rsidR="00707CEB">
        <w:rPr>
          <w:rFonts w:ascii="Segoe UI" w:hAnsi="Segoe UI" w:cs="Segoe UI"/>
        </w:rPr>
        <w:t xml:space="preserve"> classification</w:t>
      </w:r>
      <w:r w:rsidR="009D5C2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C13421" w:rsidRDefault="00C13421">
      <w:pPr>
        <w:rPr>
          <w:rFonts w:ascii="Segoe UI" w:hAnsi="Segoe UI" w:cs="Segoe UI"/>
        </w:rPr>
      </w:pPr>
    </w:p>
    <w:p w:rsidR="00AA4EAF" w:rsidRDefault="00AA4EAF">
      <w:pPr>
        <w:rPr>
          <w:rFonts w:ascii="Segoe UI" w:hAnsi="Segoe UI" w:cs="Segoe UI"/>
        </w:rPr>
      </w:pPr>
      <w:r>
        <w:rPr>
          <w:rFonts w:ascii="Segoe UI" w:hAnsi="Segoe UI" w:cs="Segoe UI"/>
        </w:rPr>
        <w:t>The areas covered are:</w:t>
      </w:r>
    </w:p>
    <w:p w:rsidR="00C13421" w:rsidRDefault="00C13421">
      <w:pPr>
        <w:rPr>
          <w:rFonts w:ascii="Segoe UI" w:hAnsi="Segoe UI" w:cs="Segoe UI"/>
        </w:rPr>
      </w:pPr>
    </w:p>
    <w:p w:rsidR="00AA4EAF" w:rsidRPr="00707CEB" w:rsidRDefault="007907B4" w:rsidP="00707CEB">
      <w:pPr>
        <w:pStyle w:val="ListParagraph"/>
        <w:numPr>
          <w:ilvl w:val="0"/>
          <w:numId w:val="1"/>
        </w:numPr>
        <w:rPr>
          <w:rFonts w:ascii="Segoe UI" w:hAnsi="Segoe UI" w:cs="Segoe UI"/>
        </w:rPr>
      </w:pPr>
      <w:hyperlink w:anchor="Travel" w:history="1">
        <w:r w:rsidR="00214346" w:rsidRPr="005947D7">
          <w:rPr>
            <w:rStyle w:val="Hyperlink"/>
          </w:rPr>
          <w:t>Travel time</w:t>
        </w:r>
      </w:hyperlink>
    </w:p>
    <w:p w:rsidR="00AA4EAF" w:rsidRPr="00707CEB" w:rsidRDefault="007907B4" w:rsidP="00707CEB">
      <w:pPr>
        <w:pStyle w:val="ListParagraph"/>
        <w:numPr>
          <w:ilvl w:val="0"/>
          <w:numId w:val="1"/>
        </w:numPr>
        <w:rPr>
          <w:rFonts w:ascii="Segoe UI" w:hAnsi="Segoe UI" w:cs="Segoe UI"/>
        </w:rPr>
      </w:pPr>
      <w:hyperlink w:anchor="Motor" w:history="1">
        <w:r w:rsidR="00214346" w:rsidRPr="005947D7">
          <w:rPr>
            <w:rStyle w:val="Hyperlink"/>
          </w:rPr>
          <w:t>Motor vehicle traffic</w:t>
        </w:r>
      </w:hyperlink>
    </w:p>
    <w:p w:rsidR="00AA4EAF" w:rsidRPr="00707CEB" w:rsidRDefault="007907B4" w:rsidP="00707CEB">
      <w:pPr>
        <w:pStyle w:val="ListParagraph"/>
        <w:numPr>
          <w:ilvl w:val="0"/>
          <w:numId w:val="1"/>
        </w:numPr>
        <w:rPr>
          <w:rFonts w:ascii="Segoe UI" w:hAnsi="Segoe UI" w:cs="Segoe UI"/>
        </w:rPr>
      </w:pPr>
      <w:hyperlink w:anchor="Road" w:history="1">
        <w:r w:rsidR="00214346" w:rsidRPr="005947D7">
          <w:rPr>
            <w:rStyle w:val="Hyperlink"/>
          </w:rPr>
          <w:t>Road network</w:t>
        </w:r>
      </w:hyperlink>
    </w:p>
    <w:p w:rsidR="00AA4EAF" w:rsidRPr="00707CEB" w:rsidRDefault="007907B4" w:rsidP="00707CEB">
      <w:pPr>
        <w:pStyle w:val="ListParagraph"/>
        <w:numPr>
          <w:ilvl w:val="0"/>
          <w:numId w:val="1"/>
        </w:numPr>
        <w:rPr>
          <w:rFonts w:ascii="Segoe UI" w:hAnsi="Segoe UI" w:cs="Segoe UI"/>
        </w:rPr>
      </w:pPr>
      <w:hyperlink w:anchor="Speed" w:history="1">
        <w:r w:rsidR="00214346" w:rsidRPr="005947D7">
          <w:rPr>
            <w:rStyle w:val="Hyperlink"/>
          </w:rPr>
          <w:t>Road speed and delay</w:t>
        </w:r>
      </w:hyperlink>
    </w:p>
    <w:p w:rsidR="00214346" w:rsidRPr="00214346" w:rsidRDefault="007907B4" w:rsidP="00214346">
      <w:pPr>
        <w:pStyle w:val="ListParagraph"/>
        <w:numPr>
          <w:ilvl w:val="0"/>
          <w:numId w:val="1"/>
        </w:numPr>
        <w:rPr>
          <w:rFonts w:ascii="Segoe UI" w:hAnsi="Segoe UI" w:cs="Segoe UI"/>
        </w:rPr>
      </w:pPr>
      <w:hyperlink w:anchor="Walking" w:history="1">
        <w:r w:rsidR="009D5C2F" w:rsidRPr="005947D7">
          <w:rPr>
            <w:rStyle w:val="Hyperlink"/>
          </w:rPr>
          <w:t>Walking</w:t>
        </w:r>
        <w:r w:rsidR="00214346" w:rsidRPr="005947D7">
          <w:rPr>
            <w:rStyle w:val="Hyperlink"/>
          </w:rPr>
          <w:t xml:space="preserve"> and cycling</w:t>
        </w:r>
      </w:hyperlink>
    </w:p>
    <w:p w:rsidR="00C13421" w:rsidRDefault="00C13421">
      <w:pPr>
        <w:rPr>
          <w:rFonts w:ascii="Segoe UI" w:hAnsi="Segoe UI" w:cs="Segoe UI"/>
          <w:b/>
          <w:u w:val="single"/>
        </w:rPr>
      </w:pPr>
      <w:r>
        <w:rPr>
          <w:rFonts w:ascii="Segoe UI" w:hAnsi="Segoe UI" w:cs="Segoe UI"/>
          <w:b/>
          <w:u w:val="single"/>
        </w:rPr>
        <w:br w:type="page"/>
      </w:r>
    </w:p>
    <w:p w:rsidR="00C27833" w:rsidRPr="00075447" w:rsidRDefault="00214346">
      <w:pPr>
        <w:rPr>
          <w:rFonts w:ascii="Segoe UI" w:hAnsi="Segoe UI" w:cs="Segoe UI"/>
          <w:b/>
          <w:u w:val="single"/>
        </w:rPr>
      </w:pPr>
      <w:bookmarkStart w:id="0" w:name="Travel"/>
      <w:bookmarkEnd w:id="0"/>
      <w:r>
        <w:rPr>
          <w:rFonts w:ascii="Segoe UI" w:hAnsi="Segoe UI" w:cs="Segoe UI"/>
          <w:b/>
          <w:u w:val="single"/>
        </w:rPr>
        <w:lastRenderedPageBreak/>
        <w:t>Travel time</w:t>
      </w:r>
    </w:p>
    <w:p w:rsidR="002211F3" w:rsidRPr="00826B10" w:rsidRDefault="00826B10" w:rsidP="00826B10">
      <w:pPr>
        <w:jc w:val="right"/>
        <w:rPr>
          <w:rFonts w:ascii="Segoe UI" w:hAnsi="Segoe UI" w:cs="Segoe UI"/>
          <w:i/>
          <w:sz w:val="16"/>
        </w:rPr>
      </w:pPr>
      <w:r w:rsidRPr="00826B10">
        <w:rPr>
          <w:rFonts w:ascii="Segoe UI" w:hAnsi="Segoe UI" w:cs="Segoe UI"/>
          <w:i/>
          <w:sz w:val="16"/>
        </w:rPr>
        <w:t>NB. travel times are in minutes except where travel time is above 120 minutes in which case 120 is shown.</w:t>
      </w:r>
    </w:p>
    <w:p w:rsidR="00826B10" w:rsidRDefault="00826B10">
      <w:pPr>
        <w:rPr>
          <w:rFonts w:ascii="Segoe UI" w:hAnsi="Segoe UI" w:cs="Segoe UI"/>
          <w:sz w:val="20"/>
        </w:rPr>
      </w:pPr>
    </w:p>
    <w:p w:rsidR="00075447" w:rsidRDefault="002211F3">
      <w:pPr>
        <w:rPr>
          <w:rFonts w:ascii="Segoe UI" w:hAnsi="Segoe UI" w:cs="Segoe UI"/>
          <w:sz w:val="20"/>
        </w:rPr>
      </w:pPr>
      <w:r w:rsidRPr="002211F3">
        <w:rPr>
          <w:rFonts w:ascii="Segoe UI" w:hAnsi="Segoe UI" w:cs="Segoe UI"/>
          <w:sz w:val="20"/>
        </w:rPr>
        <w:t xml:space="preserve">Travel time in minutes to nearest </w:t>
      </w:r>
      <w:r w:rsidRPr="008615B3">
        <w:rPr>
          <w:rFonts w:ascii="Segoe UI" w:hAnsi="Segoe UI" w:cs="Segoe UI"/>
          <w:sz w:val="20"/>
          <w:u w:val="single"/>
        </w:rPr>
        <w:t>employment centre</w:t>
      </w:r>
      <w:r w:rsidR="00680CB9" w:rsidRPr="008615B3">
        <w:rPr>
          <w:rFonts w:ascii="Segoe UI" w:hAnsi="Segoe UI" w:cs="Segoe UI"/>
          <w:sz w:val="20"/>
          <w:u w:val="single"/>
        </w:rPr>
        <w:t xml:space="preserve"> with 100 to 499 jobs</w:t>
      </w:r>
    </w:p>
    <w:p w:rsidR="00680CB9" w:rsidRPr="002211F3" w:rsidRDefault="00680CB9">
      <w:pPr>
        <w:rPr>
          <w:rFonts w:ascii="Segoe UI" w:hAnsi="Segoe UI" w:cs="Segoe UI"/>
          <w:sz w:val="20"/>
        </w:rPr>
      </w:pPr>
    </w:p>
    <w:p w:rsidR="002211F3" w:rsidRDefault="002211F3">
      <w:pPr>
        <w:rPr>
          <w:noProof/>
          <w:lang w:eastAsia="en-GB"/>
        </w:rPr>
      </w:pPr>
      <w:r w:rsidRPr="002211F3">
        <w:rPr>
          <w:rFonts w:ascii="Segoe UI" w:hAnsi="Segoe UI" w:cs="Segoe UI"/>
          <w:noProof/>
          <w:lang w:eastAsia="en-GB"/>
        </w:rPr>
        <w:drawing>
          <wp:inline distT="0" distB="0" distL="0" distR="0">
            <wp:extent cx="3124200" cy="2743200"/>
            <wp:effectExtent l="19050" t="0" r="1905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211F3">
        <w:rPr>
          <w:noProof/>
          <w:lang w:eastAsia="en-GB"/>
        </w:rPr>
        <w:t xml:space="preserve"> </w:t>
      </w:r>
      <w:r w:rsidRPr="002211F3">
        <w:rPr>
          <w:rFonts w:ascii="Segoe UI" w:hAnsi="Segoe UI" w:cs="Segoe UI"/>
          <w:noProof/>
          <w:lang w:eastAsia="en-GB"/>
        </w:rPr>
        <w:drawing>
          <wp:inline distT="0" distB="0" distL="0" distR="0">
            <wp:extent cx="3124200" cy="2743200"/>
            <wp:effectExtent l="19050" t="0" r="1905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11F3" w:rsidRDefault="002211F3">
      <w:pPr>
        <w:rPr>
          <w:rFonts w:ascii="Segoe UI" w:hAnsi="Segoe UI" w:cs="Segoe UI"/>
        </w:rPr>
      </w:pPr>
      <w:r w:rsidRPr="002211F3">
        <w:rPr>
          <w:rFonts w:ascii="Segoe UI" w:hAnsi="Segoe UI" w:cs="Segoe UI"/>
          <w:noProof/>
          <w:lang w:eastAsia="en-GB"/>
        </w:rPr>
        <w:drawing>
          <wp:inline distT="0" distB="0" distL="0" distR="0">
            <wp:extent cx="3124200" cy="2743200"/>
            <wp:effectExtent l="19050" t="0" r="1905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11F3" w:rsidRDefault="002211F3">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443081" w:rsidRDefault="00680CB9">
      <w:pPr>
        <w:rPr>
          <w:rFonts w:ascii="Segoe UI" w:hAnsi="Segoe UI" w:cs="Segoe UI"/>
          <w:sz w:val="20"/>
        </w:rPr>
      </w:pPr>
      <w:r w:rsidRPr="00680CB9">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500 to 4999 jobs</w:t>
      </w:r>
    </w:p>
    <w:p w:rsidR="00680CB9" w:rsidRDefault="00680CB9">
      <w:pPr>
        <w:rPr>
          <w:rFonts w:ascii="Segoe UI" w:hAnsi="Segoe UI" w:cs="Segoe UI"/>
          <w:sz w:val="20"/>
        </w:rPr>
      </w:pPr>
    </w:p>
    <w:p w:rsidR="00680CB9" w:rsidRDefault="00680CB9">
      <w:pPr>
        <w:rPr>
          <w:noProof/>
          <w:lang w:eastAsia="en-GB"/>
        </w:rPr>
      </w:pPr>
      <w:r w:rsidRPr="00680CB9">
        <w:rPr>
          <w:rFonts w:ascii="Segoe UI" w:hAnsi="Segoe UI" w:cs="Segoe UI"/>
          <w:noProof/>
          <w:lang w:eastAsia="en-GB"/>
        </w:rPr>
        <w:drawing>
          <wp:inline distT="0" distB="0" distL="0" distR="0">
            <wp:extent cx="3124200" cy="2743200"/>
            <wp:effectExtent l="19050" t="0" r="19050" b="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80CB9">
        <w:rPr>
          <w:noProof/>
          <w:lang w:eastAsia="en-GB"/>
        </w:rPr>
        <w:t xml:space="preserve"> </w:t>
      </w:r>
      <w:r w:rsidRPr="00680CB9">
        <w:rPr>
          <w:rFonts w:ascii="Segoe UI" w:hAnsi="Segoe UI" w:cs="Segoe UI"/>
          <w:noProof/>
          <w:lang w:eastAsia="en-GB"/>
        </w:rPr>
        <w:drawing>
          <wp:inline distT="0" distB="0" distL="0" distR="0">
            <wp:extent cx="3124200" cy="2743200"/>
            <wp:effectExtent l="19050" t="0" r="19050" b="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0CB9" w:rsidRDefault="00680CB9">
      <w:pPr>
        <w:rPr>
          <w:rFonts w:ascii="Segoe UI" w:hAnsi="Segoe UI" w:cs="Segoe UI"/>
        </w:rPr>
      </w:pPr>
      <w:r w:rsidRPr="00680CB9">
        <w:rPr>
          <w:rFonts w:ascii="Segoe UI" w:hAnsi="Segoe UI" w:cs="Segoe UI"/>
          <w:noProof/>
          <w:lang w:eastAsia="en-GB"/>
        </w:rPr>
        <w:drawing>
          <wp:inline distT="0" distB="0" distL="0" distR="0">
            <wp:extent cx="3190875" cy="2743200"/>
            <wp:effectExtent l="19050" t="0" r="9525"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1DB6" w:rsidRDefault="00E21DB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E21DB6" w:rsidRDefault="00E21DB6">
      <w:pPr>
        <w:rPr>
          <w:rFonts w:ascii="Segoe UI" w:hAnsi="Segoe UI" w:cs="Segoe UI"/>
          <w:sz w:val="20"/>
        </w:rPr>
      </w:pPr>
      <w:r w:rsidRPr="00E21DB6">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at least 5000 jobs</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21DB6">
        <w:rPr>
          <w:noProof/>
          <w:lang w:eastAsia="en-GB"/>
        </w:rPr>
        <w:t xml:space="preserve"> </w:t>
      </w:r>
      <w:r w:rsidRPr="00E21DB6">
        <w:rPr>
          <w:rFonts w:ascii="Segoe UI" w:hAnsi="Segoe UI" w:cs="Segoe UI"/>
          <w:noProof/>
          <w:sz w:val="20"/>
          <w:lang w:eastAsia="en-GB"/>
        </w:rPr>
        <w:drawing>
          <wp:inline distT="0" distB="0" distL="0" distR="0">
            <wp:extent cx="3190875" cy="2743200"/>
            <wp:effectExtent l="19050" t="0" r="9525" b="0"/>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1DB6" w:rsidRDefault="00E21DB6">
      <w:pPr>
        <w:rPr>
          <w:rFonts w:ascii="Segoe UI" w:hAnsi="Segoe UI" w:cs="Segoe UI"/>
          <w:sz w:val="20"/>
        </w:rPr>
      </w:pPr>
      <w:r w:rsidRPr="00E21DB6">
        <w:rPr>
          <w:rFonts w:ascii="Segoe UI" w:hAnsi="Segoe UI" w:cs="Segoe UI"/>
          <w:noProof/>
          <w:sz w:val="20"/>
          <w:lang w:eastAsia="en-GB"/>
        </w:rPr>
        <w:drawing>
          <wp:inline distT="0" distB="0" distL="0" distR="0">
            <wp:extent cx="3190875" cy="2743200"/>
            <wp:effectExtent l="19050" t="0" r="9525" b="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1DB6" w:rsidRDefault="00E21DB6">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E21DB6" w:rsidRDefault="008615B3">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Public Transport/Walk</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3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6181E" w:rsidRPr="00F6181E">
        <w:rPr>
          <w:noProof/>
          <w:lang w:eastAsia="en-GB"/>
        </w:rPr>
        <w:t xml:space="preserve"> </w:t>
      </w:r>
      <w:r w:rsidR="00F6181E" w:rsidRPr="00F6181E">
        <w:rPr>
          <w:rFonts w:ascii="Segoe UI" w:hAnsi="Segoe UI" w:cs="Segoe UI"/>
          <w:noProof/>
          <w:sz w:val="20"/>
          <w:lang w:eastAsia="en-GB"/>
        </w:rPr>
        <w:drawing>
          <wp:inline distT="0" distB="0" distL="0" distR="0">
            <wp:extent cx="3190875" cy="2743200"/>
            <wp:effectExtent l="19050" t="0" r="9525" b="0"/>
            <wp:docPr id="3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181E" w:rsidRDefault="00F6181E">
      <w:pPr>
        <w:rPr>
          <w:noProof/>
          <w:lang w:eastAsia="en-GB"/>
        </w:rPr>
      </w:pPr>
    </w:p>
    <w:p w:rsidR="00C13421" w:rsidRDefault="00C13421">
      <w:pPr>
        <w:rPr>
          <w:noProof/>
          <w:lang w:eastAsia="en-GB"/>
        </w:rPr>
      </w:pPr>
    </w:p>
    <w:p w:rsidR="00F6181E" w:rsidRDefault="00F6181E" w:rsidP="00F6181E">
      <w:pPr>
        <w:rPr>
          <w:rFonts w:ascii="Segoe UI" w:hAnsi="Segoe UI" w:cs="Segoe UI"/>
          <w:sz w:val="20"/>
        </w:rPr>
      </w:pPr>
      <w:r w:rsidRPr="008615B3">
        <w:rPr>
          <w:rFonts w:ascii="Segoe UI" w:hAnsi="Segoe UI" w:cs="Segoe UI"/>
          <w:sz w:val="20"/>
        </w:rPr>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Cycle</w:t>
      </w:r>
    </w:p>
    <w:p w:rsidR="00F6181E" w:rsidRDefault="00F6181E" w:rsidP="00F6181E">
      <w:pPr>
        <w:rPr>
          <w:rFonts w:ascii="Segoe UI" w:hAnsi="Segoe UI" w:cs="Segoe UI"/>
          <w:sz w:val="20"/>
        </w:rPr>
      </w:pPr>
    </w:p>
    <w:p w:rsidR="00F6181E" w:rsidRDefault="00F6181E" w:rsidP="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6181E">
        <w:rPr>
          <w:noProof/>
          <w:lang w:eastAsia="en-GB"/>
        </w:rPr>
        <w:t xml:space="preserve"> </w:t>
      </w:r>
      <w:r w:rsidRPr="00F6181E">
        <w:rPr>
          <w:rFonts w:ascii="Segoe UI" w:hAnsi="Segoe UI" w:cs="Segoe UI"/>
          <w:noProof/>
          <w:sz w:val="20"/>
          <w:lang w:eastAsia="en-GB"/>
        </w:rPr>
        <w:drawing>
          <wp:inline distT="0" distB="0" distL="0" distR="0">
            <wp:extent cx="3190875" cy="2743200"/>
            <wp:effectExtent l="19050" t="0" r="9525" b="0"/>
            <wp:docPr id="3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181E" w:rsidRDefault="00F6181E" w:rsidP="00F6181E">
      <w:pPr>
        <w:rPr>
          <w:noProof/>
          <w:lang w:eastAsia="en-GB"/>
        </w:rPr>
      </w:pPr>
    </w:p>
    <w:p w:rsidR="00C13421" w:rsidRDefault="00C13421">
      <w:pPr>
        <w:rPr>
          <w:rFonts w:ascii="Segoe UI" w:hAnsi="Segoe UI" w:cs="Segoe UI"/>
          <w:sz w:val="20"/>
        </w:rPr>
      </w:pPr>
      <w:r>
        <w:rPr>
          <w:rFonts w:ascii="Segoe UI" w:hAnsi="Segoe UI" w:cs="Segoe UI"/>
          <w:sz w:val="20"/>
        </w:rPr>
        <w:br w:type="page"/>
      </w:r>
    </w:p>
    <w:p w:rsidR="00F6181E" w:rsidRDefault="00F6181E" w:rsidP="00F6181E">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Car</w:t>
      </w:r>
    </w:p>
    <w:p w:rsidR="00F6181E" w:rsidRDefault="00F6181E" w:rsidP="00F6181E">
      <w:pPr>
        <w:rPr>
          <w:rFonts w:ascii="Segoe UI" w:hAnsi="Segoe UI" w:cs="Segoe UI"/>
          <w:sz w:val="20"/>
        </w:rPr>
      </w:pPr>
    </w:p>
    <w:p w:rsidR="00F6181E" w:rsidRDefault="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504D8" w:rsidRPr="00A504D8">
        <w:rPr>
          <w:noProof/>
          <w:lang w:eastAsia="en-GB"/>
        </w:rPr>
        <w:t xml:space="preserve"> </w:t>
      </w:r>
      <w:r w:rsidR="00A504D8" w:rsidRPr="00A504D8">
        <w:rPr>
          <w:rFonts w:ascii="Segoe UI" w:hAnsi="Segoe UI" w:cs="Segoe UI"/>
          <w:noProof/>
          <w:sz w:val="20"/>
          <w:lang w:eastAsia="en-GB"/>
        </w:rPr>
        <w:drawing>
          <wp:inline distT="0" distB="0" distL="0" distR="0">
            <wp:extent cx="3190875" cy="2743200"/>
            <wp:effectExtent l="19050" t="0" r="9525" b="0"/>
            <wp:docPr id="3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04D8" w:rsidRDefault="00A504D8">
      <w:pPr>
        <w:rPr>
          <w:noProof/>
          <w:lang w:eastAsia="en-GB"/>
        </w:rPr>
      </w:pPr>
    </w:p>
    <w:p w:rsidR="00C13421" w:rsidRDefault="00C13421">
      <w:pPr>
        <w:rPr>
          <w:noProof/>
          <w:lang w:eastAsia="en-GB"/>
        </w:rPr>
      </w:pPr>
    </w:p>
    <w:p w:rsidR="00154234" w:rsidRDefault="00154234" w:rsidP="001542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Public Transport/Walk</w:t>
      </w:r>
    </w:p>
    <w:p w:rsidR="00154234" w:rsidRDefault="00154234" w:rsidP="00154234">
      <w:pPr>
        <w:rPr>
          <w:rFonts w:ascii="Segoe UI" w:hAnsi="Segoe UI" w:cs="Segoe UI"/>
          <w:sz w:val="20"/>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90875" cy="2743200"/>
            <wp:effectExtent l="19050" t="0" r="9525" b="0"/>
            <wp:docPr id="3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90875" cy="2743200"/>
            <wp:effectExtent l="19050" t="0" r="9525" b="0"/>
            <wp:docPr id="3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4234" w:rsidRDefault="00154234" w:rsidP="001542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54234" w:rsidRDefault="00154234" w:rsidP="00154234">
      <w:pPr>
        <w:rPr>
          <w:noProof/>
          <w:lang w:eastAsia="en-GB"/>
        </w:rPr>
      </w:pPr>
      <w:r w:rsidRPr="008615B3">
        <w:rPr>
          <w:rFonts w:ascii="Segoe UI" w:hAnsi="Segoe UI" w:cs="Segoe UI"/>
          <w:sz w:val="20"/>
        </w:rPr>
        <w:lastRenderedPageBreak/>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Cycle</w:t>
      </w:r>
    </w:p>
    <w:p w:rsidR="00154234" w:rsidRDefault="00154234" w:rsidP="00154234">
      <w:pPr>
        <w:rPr>
          <w:noProof/>
          <w:lang w:eastAsia="en-GB"/>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71825" cy="2743200"/>
            <wp:effectExtent l="19050" t="0" r="9525" b="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3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4234" w:rsidRDefault="00154234" w:rsidP="00154234">
      <w:pPr>
        <w:rPr>
          <w:noProof/>
          <w:lang w:eastAsia="en-GB"/>
        </w:rPr>
      </w:pPr>
    </w:p>
    <w:p w:rsidR="00C13421" w:rsidRDefault="00C13421" w:rsidP="00154234">
      <w:pPr>
        <w:rPr>
          <w:noProof/>
          <w:lang w:eastAsia="en-GB"/>
        </w:rPr>
      </w:pPr>
    </w:p>
    <w:p w:rsidR="00154234" w:rsidRDefault="00154234" w:rsidP="00154234">
      <w:pPr>
        <w:rPr>
          <w:noProof/>
          <w:lang w:eastAsia="en-GB"/>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Car</w:t>
      </w:r>
    </w:p>
    <w:p w:rsidR="00154234" w:rsidRDefault="00154234" w:rsidP="00154234">
      <w:pPr>
        <w:rPr>
          <w:rFonts w:ascii="Segoe UI" w:hAnsi="Segoe UI" w:cs="Segoe UI"/>
          <w:sz w:val="20"/>
        </w:rPr>
      </w:pPr>
    </w:p>
    <w:p w:rsidR="00154234" w:rsidRDefault="00154234" w:rsidP="00154234">
      <w:pPr>
        <w:rPr>
          <w:rFonts w:ascii="Segoe UI" w:hAnsi="Segoe UI" w:cs="Segoe UI"/>
          <w:sz w:val="20"/>
        </w:rPr>
      </w:pPr>
      <w:r w:rsidRPr="00154234">
        <w:rPr>
          <w:rFonts w:ascii="Segoe UI" w:hAnsi="Segoe UI" w:cs="Segoe UI"/>
          <w:noProof/>
          <w:sz w:val="20"/>
          <w:lang w:eastAsia="en-GB"/>
        </w:rPr>
        <w:drawing>
          <wp:inline distT="0" distB="0" distL="0" distR="0">
            <wp:extent cx="3171825" cy="2743200"/>
            <wp:effectExtent l="19050" t="0" r="9525" b="0"/>
            <wp:docPr id="4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04D8" w:rsidRDefault="00A504D8">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843934" w:rsidRDefault="00843934" w:rsidP="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Public Transport/Walk</w:t>
      </w:r>
    </w:p>
    <w:p w:rsidR="00843934" w:rsidRDefault="00843934" w:rsidP="00843934">
      <w:pPr>
        <w:rPr>
          <w:rFonts w:ascii="Segoe UI" w:hAnsi="Segoe UI" w:cs="Segoe UI"/>
          <w:sz w:val="20"/>
        </w:rPr>
      </w:pPr>
    </w:p>
    <w:p w:rsidR="00843934" w:rsidRDefault="00843934" w:rsidP="00843934">
      <w:pPr>
        <w:rPr>
          <w:noProof/>
          <w:lang w:eastAsia="en-GB"/>
        </w:rPr>
      </w:pPr>
      <w:r w:rsidRPr="00843934">
        <w:rPr>
          <w:noProof/>
          <w:lang w:eastAsia="en-GB"/>
        </w:rPr>
        <w:drawing>
          <wp:inline distT="0" distB="0" distL="0" distR="0">
            <wp:extent cx="3171825" cy="2743200"/>
            <wp:effectExtent l="19050" t="0" r="9525" b="0"/>
            <wp:docPr id="4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843934">
        <w:rPr>
          <w:noProof/>
          <w:lang w:eastAsia="en-GB"/>
        </w:rPr>
        <w:t xml:space="preserve"> </w:t>
      </w:r>
      <w:r w:rsidRPr="00843934">
        <w:rPr>
          <w:noProof/>
          <w:lang w:eastAsia="en-GB"/>
        </w:rPr>
        <w:drawing>
          <wp:inline distT="0" distB="0" distL="0" distR="0">
            <wp:extent cx="3171825" cy="2743200"/>
            <wp:effectExtent l="19050" t="0" r="9525" b="0"/>
            <wp:docPr id="4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43934" w:rsidRDefault="00843934" w:rsidP="00843934">
      <w:pPr>
        <w:rPr>
          <w:noProof/>
          <w:lang w:eastAsia="en-GB"/>
        </w:rPr>
      </w:pPr>
    </w:p>
    <w:p w:rsidR="00C13421" w:rsidRDefault="00C13421" w:rsidP="00843934">
      <w:pPr>
        <w:rPr>
          <w:noProof/>
          <w:lang w:eastAsia="en-GB"/>
        </w:rPr>
      </w:pPr>
    </w:p>
    <w:p w:rsidR="00843934" w:rsidRDefault="00843934" w:rsidP="008439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Cycle</w:t>
      </w:r>
    </w:p>
    <w:p w:rsidR="00843934" w:rsidRDefault="00843934" w:rsidP="00843934">
      <w:pPr>
        <w:rPr>
          <w:noProof/>
          <w:lang w:eastAsia="en-GB"/>
        </w:rPr>
      </w:pPr>
    </w:p>
    <w:p w:rsidR="00F6181E" w:rsidRDefault="00843934">
      <w:pPr>
        <w:rPr>
          <w:noProof/>
          <w:lang w:eastAsia="en-GB"/>
        </w:rPr>
      </w:pPr>
      <w:r w:rsidRPr="00843934">
        <w:rPr>
          <w:rFonts w:ascii="Segoe UI" w:hAnsi="Segoe UI" w:cs="Segoe UI"/>
          <w:noProof/>
          <w:sz w:val="20"/>
          <w:lang w:eastAsia="en-GB"/>
        </w:rPr>
        <w:drawing>
          <wp:inline distT="0" distB="0" distL="0" distR="0">
            <wp:extent cx="3171825" cy="2743200"/>
            <wp:effectExtent l="19050" t="0" r="9525" b="0"/>
            <wp:docPr id="4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843934">
        <w:rPr>
          <w:noProof/>
          <w:lang w:eastAsia="en-GB"/>
        </w:rPr>
        <w:t xml:space="preserve"> </w:t>
      </w:r>
      <w:r w:rsidRPr="00843934">
        <w:rPr>
          <w:rFonts w:ascii="Segoe UI" w:hAnsi="Segoe UI" w:cs="Segoe UI"/>
          <w:noProof/>
          <w:sz w:val="20"/>
          <w:lang w:eastAsia="en-GB"/>
        </w:rPr>
        <w:drawing>
          <wp:inline distT="0" distB="0" distL="0" distR="0">
            <wp:extent cx="3171825" cy="2743200"/>
            <wp:effectExtent l="19050" t="0" r="9525" b="0"/>
            <wp:docPr id="4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43934" w:rsidRDefault="008439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843934" w:rsidRPr="00E21DB6" w:rsidRDefault="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w:t>
      </w:r>
      <w:r w:rsidR="001157F0">
        <w:rPr>
          <w:rFonts w:ascii="Segoe UI" w:hAnsi="Segoe UI" w:cs="Segoe UI"/>
          <w:sz w:val="20"/>
        </w:rPr>
        <w:t>ar</w:t>
      </w:r>
    </w:p>
    <w:p w:rsidR="00DE69DB" w:rsidRDefault="00DE69DB">
      <w:pPr>
        <w:rPr>
          <w:rFonts w:ascii="Segoe UI" w:hAnsi="Segoe UI" w:cs="Segoe UI"/>
        </w:rPr>
      </w:pPr>
    </w:p>
    <w:p w:rsidR="00680CB9"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4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157F0" w:rsidRDefault="001157F0">
      <w:pPr>
        <w:rPr>
          <w:noProof/>
          <w:lang w:eastAsia="en-GB"/>
        </w:rPr>
      </w:pPr>
    </w:p>
    <w:p w:rsidR="00C13421" w:rsidRDefault="00C13421">
      <w:pPr>
        <w:rPr>
          <w:noProof/>
          <w:lang w:eastAsia="en-GB"/>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Public Transport/Walk</w:t>
      </w:r>
    </w:p>
    <w:p w:rsidR="001157F0" w:rsidRDefault="001157F0">
      <w:pPr>
        <w:rPr>
          <w:rFonts w:ascii="Segoe UI" w:hAnsi="Segoe UI" w:cs="Segoe UI"/>
        </w:rPr>
      </w:pPr>
    </w:p>
    <w:p w:rsidR="001157F0"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57F0" w:rsidRDefault="001157F0">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157F0" w:rsidRDefault="001157F0">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Cycle</w:t>
      </w:r>
    </w:p>
    <w:p w:rsidR="001157F0" w:rsidRDefault="001157F0">
      <w:pPr>
        <w:rPr>
          <w:rFonts w:ascii="Segoe UI" w:hAnsi="Segoe UI" w:cs="Segoe UI"/>
          <w:sz w:val="20"/>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23766" w:rsidRDefault="00123766">
      <w:pPr>
        <w:rPr>
          <w:rFonts w:ascii="Segoe UI" w:hAnsi="Segoe UI" w:cs="Segoe UI"/>
        </w:rPr>
      </w:pPr>
    </w:p>
    <w:p w:rsidR="00C13421" w:rsidRDefault="00C13421">
      <w:pPr>
        <w:rPr>
          <w:rFonts w:ascii="Segoe UI" w:hAnsi="Segoe UI" w:cs="Segoe UI"/>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Car</w:t>
      </w:r>
    </w:p>
    <w:p w:rsidR="001157F0" w:rsidRDefault="001157F0">
      <w:pPr>
        <w:rPr>
          <w:rFonts w:ascii="Segoe UI" w:hAnsi="Segoe UI" w:cs="Segoe UI"/>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23766" w:rsidRDefault="0012376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6D6F09" w:rsidRDefault="006D6F09" w:rsidP="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Public Transport/Walk</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D6F09" w:rsidRDefault="006D6F09" w:rsidP="006D6F09">
      <w:pPr>
        <w:rPr>
          <w:rFonts w:ascii="Segoe UI" w:hAnsi="Segoe UI" w:cs="Segoe UI"/>
          <w:sz w:val="20"/>
        </w:rPr>
      </w:pPr>
    </w:p>
    <w:p w:rsidR="00C13421" w:rsidRPr="006D6F09"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Cycle</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7FA7" w:rsidRDefault="00A67FA7">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D6F09" w:rsidRPr="006D6F09" w:rsidRDefault="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Car</w:t>
      </w:r>
    </w:p>
    <w:p w:rsidR="006D6F09" w:rsidRDefault="006D6F09">
      <w:pPr>
        <w:rPr>
          <w:rFonts w:ascii="Segoe UI" w:hAnsi="Segoe UI" w:cs="Segoe UI"/>
          <w:sz w:val="20"/>
        </w:rPr>
      </w:pPr>
    </w:p>
    <w:p w:rsidR="006D6F09" w:rsidRDefault="006D6F09">
      <w:pPr>
        <w:rPr>
          <w:noProof/>
          <w:lang w:eastAsia="en-GB"/>
        </w:rPr>
      </w:pPr>
      <w:r w:rsidRPr="006D6F09">
        <w:rPr>
          <w:rFonts w:ascii="Segoe UI" w:hAnsi="Segoe UI" w:cs="Segoe UI"/>
          <w:noProof/>
          <w:sz w:val="20"/>
          <w:lang w:eastAsia="en-GB"/>
        </w:rPr>
        <w:drawing>
          <wp:inline distT="0" distB="0" distL="0" distR="0">
            <wp:extent cx="3171825" cy="2743200"/>
            <wp:effectExtent l="19050" t="0" r="9525" b="0"/>
            <wp:docPr id="5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6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F2C9A" w:rsidRDefault="006F2C9A" w:rsidP="006F2C9A">
      <w:pPr>
        <w:rPr>
          <w:rFonts w:ascii="Segoe UI" w:hAnsi="Segoe UI" w:cs="Segoe UI"/>
          <w:sz w:val="20"/>
        </w:rPr>
      </w:pPr>
    </w:p>
    <w:p w:rsidR="00C13421" w:rsidRDefault="00C13421" w:rsidP="006F2C9A">
      <w:pPr>
        <w:rPr>
          <w:rFonts w:ascii="Segoe UI" w:hAnsi="Segoe UI" w:cs="Segoe UI"/>
          <w:sz w:val="20"/>
        </w:rPr>
      </w:pPr>
    </w:p>
    <w:p w:rsidR="006F2C9A" w:rsidRDefault="006F2C9A" w:rsidP="006F2C9A">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Cycle</w:t>
      </w:r>
    </w:p>
    <w:p w:rsidR="006F2C9A" w:rsidRDefault="006F2C9A" w:rsidP="006F2C9A">
      <w:pPr>
        <w:rPr>
          <w:rFonts w:ascii="Segoe UI" w:hAnsi="Segoe UI" w:cs="Segoe UI"/>
          <w:sz w:val="20"/>
        </w:rPr>
      </w:pPr>
    </w:p>
    <w:p w:rsidR="006F2C9A" w:rsidRPr="006D6F09" w:rsidRDefault="006F2C9A" w:rsidP="006F2C9A">
      <w:pPr>
        <w:rPr>
          <w:rFonts w:ascii="Segoe UI" w:hAnsi="Segoe UI" w:cs="Segoe UI"/>
          <w:sz w:val="20"/>
        </w:rPr>
      </w:pPr>
      <w:r w:rsidRPr="00077094">
        <w:rPr>
          <w:rFonts w:ascii="Segoe UI" w:hAnsi="Segoe UI" w:cs="Segoe UI"/>
          <w:noProof/>
          <w:sz w:val="20"/>
          <w:lang w:eastAsia="en-GB"/>
        </w:rPr>
        <w:drawing>
          <wp:inline distT="0" distB="0" distL="0" distR="0">
            <wp:extent cx="3190875" cy="2743200"/>
            <wp:effectExtent l="19050" t="0" r="9525" b="0"/>
            <wp:docPr id="87"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88"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F2C9A" w:rsidRDefault="006F2C9A" w:rsidP="006F2C9A">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F2C9A" w:rsidRDefault="006F2C9A" w:rsidP="006F2C9A">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Car</w:t>
      </w:r>
    </w:p>
    <w:p w:rsidR="006F2C9A" w:rsidRDefault="006F2C9A" w:rsidP="006F2C9A">
      <w:pPr>
        <w:rPr>
          <w:rFonts w:ascii="Segoe UI" w:hAnsi="Segoe UI" w:cs="Segoe UI"/>
          <w:sz w:val="20"/>
        </w:rPr>
      </w:pPr>
    </w:p>
    <w:p w:rsidR="006F2C9A" w:rsidRDefault="006F2C9A" w:rsidP="006F2C9A">
      <w:pPr>
        <w:rPr>
          <w:rFonts w:ascii="Segoe UI" w:hAnsi="Segoe UI" w:cs="Segoe UI"/>
          <w:sz w:val="20"/>
        </w:rPr>
      </w:pPr>
      <w:r w:rsidRPr="00F93AE4">
        <w:rPr>
          <w:rFonts w:ascii="Segoe UI" w:hAnsi="Segoe UI" w:cs="Segoe UI"/>
          <w:noProof/>
          <w:sz w:val="20"/>
          <w:lang w:eastAsia="en-GB"/>
        </w:rPr>
        <w:drawing>
          <wp:inline distT="0" distB="0" distL="0" distR="0">
            <wp:extent cx="3190875" cy="2743200"/>
            <wp:effectExtent l="19050" t="0" r="9525" b="0"/>
            <wp:docPr id="89"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90"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D6F09" w:rsidRDefault="006D6F09" w:rsidP="006D6F09">
      <w:pPr>
        <w:rPr>
          <w:rFonts w:ascii="Segoe UI" w:hAnsi="Segoe UI" w:cs="Segoe UI"/>
          <w:sz w:val="20"/>
        </w:rPr>
      </w:pPr>
    </w:p>
    <w:p w:rsidR="00C13421"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sidR="00182EBD">
        <w:rPr>
          <w:rFonts w:ascii="Segoe UI" w:hAnsi="Segoe UI" w:cs="Segoe UI"/>
          <w:sz w:val="20"/>
          <w:u w:val="single"/>
        </w:rPr>
        <w:t>Food Store</w:t>
      </w:r>
      <w:r w:rsidRPr="008615B3">
        <w:rPr>
          <w:rFonts w:ascii="Segoe UI" w:hAnsi="Segoe UI" w:cs="Segoe UI"/>
          <w:sz w:val="20"/>
        </w:rPr>
        <w:t xml:space="preserve"> by </w:t>
      </w:r>
      <w:r w:rsidR="00182EBD">
        <w:rPr>
          <w:rFonts w:ascii="Segoe UI" w:hAnsi="Segoe UI" w:cs="Segoe UI"/>
          <w:sz w:val="20"/>
        </w:rPr>
        <w:t>Public Transport/Walk</w:t>
      </w:r>
    </w:p>
    <w:p w:rsidR="00182EBD" w:rsidRPr="006D6F09" w:rsidRDefault="00182EBD" w:rsidP="006D6F09">
      <w:pPr>
        <w:rPr>
          <w:rFonts w:ascii="Segoe UI" w:hAnsi="Segoe UI" w:cs="Segoe UI"/>
          <w:sz w:val="20"/>
        </w:rPr>
      </w:pPr>
    </w:p>
    <w:p w:rsidR="006D6F09" w:rsidRDefault="00182EBD" w:rsidP="006D6F09">
      <w:pPr>
        <w:rPr>
          <w:rFonts w:ascii="Segoe UI" w:hAnsi="Segoe UI" w:cs="Segoe UI"/>
          <w:sz w:val="20"/>
        </w:rPr>
      </w:pPr>
      <w:r w:rsidRPr="00182EBD">
        <w:rPr>
          <w:rFonts w:ascii="Segoe UI" w:hAnsi="Segoe UI" w:cs="Segoe UI"/>
          <w:noProof/>
          <w:sz w:val="20"/>
          <w:lang w:eastAsia="en-GB"/>
        </w:rPr>
        <w:drawing>
          <wp:inline distT="0" distB="0" distL="0" distR="0">
            <wp:extent cx="3124200" cy="2743200"/>
            <wp:effectExtent l="19050" t="0" r="19050" b="0"/>
            <wp:docPr id="6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182EBD">
        <w:rPr>
          <w:noProof/>
          <w:lang w:eastAsia="en-GB"/>
        </w:rPr>
        <w:t xml:space="preserve"> </w:t>
      </w:r>
      <w:r w:rsidRPr="00182EBD">
        <w:rPr>
          <w:rFonts w:ascii="Segoe UI" w:hAnsi="Segoe UI" w:cs="Segoe UI"/>
          <w:noProof/>
          <w:sz w:val="20"/>
          <w:lang w:eastAsia="en-GB"/>
        </w:rPr>
        <w:drawing>
          <wp:inline distT="0" distB="0" distL="0" distR="0">
            <wp:extent cx="3124200" cy="2743200"/>
            <wp:effectExtent l="19050" t="0" r="19050" b="0"/>
            <wp:docPr id="6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82EBD" w:rsidRDefault="00182EBD" w:rsidP="00182EBD">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182EBD" w:rsidRDefault="00182EBD" w:rsidP="00182EBD">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Cycle</w:t>
      </w:r>
    </w:p>
    <w:p w:rsidR="00182EBD" w:rsidRPr="006D6F09" w:rsidRDefault="00182EBD" w:rsidP="00182EBD">
      <w:pPr>
        <w:rPr>
          <w:rFonts w:ascii="Segoe UI" w:hAnsi="Segoe UI" w:cs="Segoe UI"/>
          <w:sz w:val="20"/>
        </w:rPr>
      </w:pPr>
    </w:p>
    <w:p w:rsidR="00A67FA7" w:rsidRDefault="00182EBD">
      <w:pPr>
        <w:rPr>
          <w:rFonts w:ascii="Segoe UI" w:hAnsi="Segoe UI" w:cs="Segoe UI"/>
        </w:rPr>
      </w:pPr>
      <w:r w:rsidRPr="00182EBD">
        <w:rPr>
          <w:rFonts w:ascii="Segoe UI" w:hAnsi="Segoe UI" w:cs="Segoe UI"/>
          <w:noProof/>
          <w:lang w:eastAsia="en-GB"/>
        </w:rPr>
        <w:drawing>
          <wp:inline distT="0" distB="0" distL="0" distR="0">
            <wp:extent cx="3124200" cy="2743200"/>
            <wp:effectExtent l="19050" t="0" r="19050" b="0"/>
            <wp:docPr id="6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182EBD">
        <w:rPr>
          <w:noProof/>
          <w:lang w:eastAsia="en-GB"/>
        </w:rPr>
        <w:t xml:space="preserve"> </w:t>
      </w:r>
      <w:r w:rsidRPr="00182EBD">
        <w:rPr>
          <w:rFonts w:ascii="Segoe UI" w:hAnsi="Segoe UI" w:cs="Segoe UI"/>
          <w:noProof/>
          <w:lang w:eastAsia="en-GB"/>
        </w:rPr>
        <w:drawing>
          <wp:inline distT="0" distB="0" distL="0" distR="0">
            <wp:extent cx="3124200" cy="2743200"/>
            <wp:effectExtent l="19050" t="0" r="19050" b="0"/>
            <wp:docPr id="6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F5F54" w:rsidRDefault="007F5F54" w:rsidP="007F5F54">
      <w:pPr>
        <w:rPr>
          <w:rFonts w:ascii="Segoe UI" w:hAnsi="Segoe UI" w:cs="Segoe UI"/>
          <w:sz w:val="20"/>
        </w:rPr>
      </w:pPr>
    </w:p>
    <w:p w:rsidR="00C13421" w:rsidRDefault="00C13421" w:rsidP="007F5F54">
      <w:pPr>
        <w:rPr>
          <w:rFonts w:ascii="Segoe UI" w:hAnsi="Segoe UI" w:cs="Segoe UI"/>
          <w:sz w:val="20"/>
        </w:rPr>
      </w:pPr>
    </w:p>
    <w:p w:rsidR="007F5F54" w:rsidRDefault="007F5F54" w:rsidP="007F5F5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Car</w:t>
      </w:r>
    </w:p>
    <w:p w:rsidR="007F5F54" w:rsidRDefault="007F5F54" w:rsidP="007F5F54">
      <w:pPr>
        <w:rPr>
          <w:rFonts w:ascii="Segoe UI" w:hAnsi="Segoe UI" w:cs="Segoe UI"/>
          <w:sz w:val="20"/>
        </w:rPr>
      </w:pPr>
    </w:p>
    <w:p w:rsidR="007F5F54" w:rsidRDefault="007F5F54" w:rsidP="007F5F54">
      <w:pPr>
        <w:rPr>
          <w:rFonts w:ascii="Segoe UI" w:hAnsi="Segoe UI" w:cs="Segoe UI"/>
          <w:sz w:val="20"/>
        </w:rPr>
      </w:pPr>
      <w:r w:rsidRPr="007F5F54">
        <w:rPr>
          <w:rFonts w:ascii="Segoe UI" w:hAnsi="Segoe UI" w:cs="Segoe UI"/>
          <w:noProof/>
          <w:sz w:val="20"/>
          <w:lang w:eastAsia="en-GB"/>
        </w:rPr>
        <w:drawing>
          <wp:inline distT="0" distB="0" distL="0" distR="0">
            <wp:extent cx="3124200" cy="2743200"/>
            <wp:effectExtent l="19050" t="0" r="19050" b="0"/>
            <wp:docPr id="6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7F5F54">
        <w:rPr>
          <w:noProof/>
          <w:lang w:eastAsia="en-GB"/>
        </w:rPr>
        <w:t xml:space="preserve"> </w:t>
      </w:r>
      <w:r w:rsidRPr="007F5F54">
        <w:rPr>
          <w:rFonts w:ascii="Segoe UI" w:hAnsi="Segoe UI" w:cs="Segoe UI"/>
          <w:noProof/>
          <w:sz w:val="20"/>
          <w:lang w:eastAsia="en-GB"/>
        </w:rPr>
        <w:drawing>
          <wp:inline distT="0" distB="0" distL="0" distR="0">
            <wp:extent cx="3124200" cy="2743200"/>
            <wp:effectExtent l="19050" t="0" r="19050" b="0"/>
            <wp:docPr id="6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Public Transport/Walk</w:t>
      </w:r>
    </w:p>
    <w:p w:rsidR="00C027BE" w:rsidRPr="006D6F09" w:rsidRDefault="00C027BE" w:rsidP="00C027BE">
      <w:pPr>
        <w:rPr>
          <w:rFonts w:ascii="Segoe UI" w:hAnsi="Segoe UI" w:cs="Segoe UI"/>
          <w:sz w:val="20"/>
        </w:rPr>
      </w:pPr>
    </w:p>
    <w:p w:rsidR="007D3509" w:rsidRDefault="00C027BE">
      <w:pPr>
        <w:rPr>
          <w:rFonts w:ascii="Segoe UI" w:hAnsi="Segoe UI" w:cs="Segoe UI"/>
        </w:rPr>
      </w:pPr>
      <w:r w:rsidRPr="00C027BE">
        <w:rPr>
          <w:rFonts w:ascii="Segoe UI" w:hAnsi="Segoe UI" w:cs="Segoe UI"/>
          <w:noProof/>
          <w:lang w:eastAsia="en-GB"/>
        </w:rPr>
        <w:drawing>
          <wp:inline distT="0" distB="0" distL="0" distR="0">
            <wp:extent cx="3124200" cy="2743200"/>
            <wp:effectExtent l="19050" t="0" r="19050" b="0"/>
            <wp:docPr id="6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24200" cy="2743200"/>
            <wp:effectExtent l="19050" t="0" r="19050" b="0"/>
            <wp:docPr id="6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027BE" w:rsidRDefault="00C027BE" w:rsidP="00C027BE">
      <w:pPr>
        <w:rPr>
          <w:rFonts w:ascii="Segoe UI" w:hAnsi="Segoe UI" w:cs="Segoe UI"/>
          <w:sz w:val="20"/>
        </w:rPr>
      </w:pPr>
    </w:p>
    <w:p w:rsidR="00C13421" w:rsidRDefault="00C13421" w:rsidP="00C027BE">
      <w:pPr>
        <w:rPr>
          <w:rFonts w:ascii="Segoe UI" w:hAnsi="Segoe UI" w:cs="Segoe UI"/>
          <w:sz w:val="20"/>
        </w:rPr>
      </w:pPr>
    </w:p>
    <w:p w:rsidR="00C027BE" w:rsidRDefault="00C027BE" w:rsidP="00C027BE">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Cycle</w:t>
      </w:r>
    </w:p>
    <w:p w:rsidR="00C027BE" w:rsidRPr="006D6F09" w:rsidRDefault="00C027BE" w:rsidP="00C027BE">
      <w:pPr>
        <w:rPr>
          <w:rFonts w:ascii="Segoe UI" w:hAnsi="Segoe UI" w:cs="Segoe UI"/>
          <w:sz w:val="20"/>
        </w:rPr>
      </w:pPr>
    </w:p>
    <w:p w:rsidR="002408BD" w:rsidRDefault="00C027BE">
      <w:pPr>
        <w:rPr>
          <w:noProof/>
          <w:lang w:eastAsia="en-GB"/>
        </w:rPr>
      </w:pPr>
      <w:r w:rsidRPr="00C027BE">
        <w:rPr>
          <w:rFonts w:ascii="Segoe UI" w:hAnsi="Segoe UI" w:cs="Segoe UI"/>
          <w:noProof/>
          <w:lang w:eastAsia="en-GB"/>
        </w:rPr>
        <w:drawing>
          <wp:inline distT="0" distB="0" distL="0" distR="0">
            <wp:extent cx="3190875" cy="2743200"/>
            <wp:effectExtent l="19050" t="0" r="9525" b="0"/>
            <wp:docPr id="7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90875" cy="2743200"/>
            <wp:effectExtent l="19050" t="0" r="9525" b="0"/>
            <wp:docPr id="7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Car</w:t>
      </w:r>
    </w:p>
    <w:p w:rsidR="00C027BE" w:rsidRDefault="00C027BE" w:rsidP="00C027BE">
      <w:pPr>
        <w:rPr>
          <w:rFonts w:ascii="Segoe UI" w:hAnsi="Segoe UI" w:cs="Segoe UI"/>
          <w:sz w:val="20"/>
        </w:rPr>
      </w:pPr>
    </w:p>
    <w:p w:rsidR="00C027BE" w:rsidRDefault="00C027BE" w:rsidP="00C027BE">
      <w:pPr>
        <w:rPr>
          <w:noProof/>
          <w:lang w:eastAsia="en-GB"/>
        </w:rPr>
      </w:pPr>
      <w:r w:rsidRPr="00C027BE">
        <w:rPr>
          <w:rFonts w:ascii="Segoe UI" w:hAnsi="Segoe UI" w:cs="Segoe UI"/>
          <w:noProof/>
          <w:sz w:val="20"/>
          <w:lang w:eastAsia="en-GB"/>
        </w:rPr>
        <w:drawing>
          <wp:inline distT="0" distB="0" distL="0" distR="0">
            <wp:extent cx="3190875" cy="2743200"/>
            <wp:effectExtent l="19050" t="0" r="9525" b="0"/>
            <wp:docPr id="7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C027BE">
        <w:rPr>
          <w:noProof/>
          <w:lang w:eastAsia="en-GB"/>
        </w:rPr>
        <w:t xml:space="preserve"> </w:t>
      </w:r>
      <w:r w:rsidRPr="00C027BE">
        <w:rPr>
          <w:rFonts w:ascii="Segoe UI" w:hAnsi="Segoe UI" w:cs="Segoe UI"/>
          <w:noProof/>
          <w:sz w:val="20"/>
          <w:lang w:eastAsia="en-GB"/>
        </w:rPr>
        <w:drawing>
          <wp:inline distT="0" distB="0" distL="0" distR="0">
            <wp:extent cx="3190875" cy="2743200"/>
            <wp:effectExtent l="19050" t="0" r="9525" b="0"/>
            <wp:docPr id="7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77094" w:rsidRDefault="00077094" w:rsidP="00077094">
      <w:pPr>
        <w:rPr>
          <w:rFonts w:ascii="Segoe UI" w:hAnsi="Segoe UI" w:cs="Segoe UI"/>
          <w:sz w:val="20"/>
        </w:rPr>
      </w:pPr>
    </w:p>
    <w:p w:rsidR="00A55118" w:rsidRDefault="00A55118" w:rsidP="00077094">
      <w:pPr>
        <w:rPr>
          <w:rFonts w:ascii="Segoe UI" w:hAnsi="Segoe UI" w:cs="Segoe UI"/>
          <w:sz w:val="20"/>
        </w:rPr>
      </w:pPr>
    </w:p>
    <w:p w:rsidR="00A55118" w:rsidRDefault="00A55118">
      <w:pPr>
        <w:rPr>
          <w:rFonts w:ascii="Segoe UI" w:hAnsi="Segoe UI" w:cs="Segoe UI"/>
        </w:rPr>
      </w:pPr>
      <w:r>
        <w:rPr>
          <w:rFonts w:ascii="Segoe UI" w:hAnsi="Segoe UI" w:cs="Segoe UI"/>
        </w:rPr>
        <w:br w:type="page"/>
      </w:r>
    </w:p>
    <w:p w:rsidR="008D66C0" w:rsidRPr="00F624C0" w:rsidRDefault="00214346">
      <w:pPr>
        <w:rPr>
          <w:rFonts w:ascii="Segoe UI" w:hAnsi="Segoe UI" w:cs="Segoe UI"/>
          <w:b/>
          <w:u w:val="single"/>
        </w:rPr>
      </w:pPr>
      <w:bookmarkStart w:id="1" w:name="Motor"/>
      <w:bookmarkEnd w:id="1"/>
      <w:r>
        <w:rPr>
          <w:rFonts w:ascii="Segoe UI" w:hAnsi="Segoe UI" w:cs="Segoe UI"/>
          <w:b/>
          <w:u w:val="single"/>
        </w:rPr>
        <w:lastRenderedPageBreak/>
        <w:t>Motor vehicle traffic</w:t>
      </w:r>
    </w:p>
    <w:p w:rsidR="00F624C0" w:rsidRDefault="00F624C0">
      <w:pPr>
        <w:rPr>
          <w:rFonts w:ascii="Segoe UI" w:hAnsi="Segoe UI" w:cs="Segoe UI"/>
          <w:sz w:val="20"/>
        </w:rPr>
      </w:pPr>
    </w:p>
    <w:p w:rsidR="00A55118" w:rsidRDefault="00A55118">
      <w:pPr>
        <w:rPr>
          <w:rFonts w:ascii="Segoe UI" w:hAnsi="Segoe UI" w:cs="Segoe UI"/>
          <w:sz w:val="20"/>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57557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58218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59684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60993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62470</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120136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119953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122940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124353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126852</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136667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137449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141094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144150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147373</w:t>
            </w:r>
          </w:p>
        </w:tc>
      </w:tr>
      <w:tr w:rsidR="003E7BDE"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E7BDE" w:rsidRDefault="003E7BDE" w:rsidP="003E7BDE">
            <w:pPr>
              <w:spacing w:after="100" w:afterAutospacing="1"/>
              <w:rPr>
                <w:rFonts w:ascii="Tahoma" w:hAnsi="Tahoma" w:cs="Tahoma"/>
                <w:color w:val="000000"/>
                <w:sz w:val="16"/>
                <w:szCs w:val="16"/>
              </w:rPr>
            </w:pPr>
            <w:r>
              <w:rPr>
                <w:rFonts w:ascii="Tahoma" w:hAnsi="Tahoma" w:cs="Tahoma"/>
                <w:color w:val="000000"/>
                <w:sz w:val="16"/>
                <w:szCs w:val="16"/>
              </w:rPr>
              <w:t>Dorset</w:t>
            </w:r>
          </w:p>
        </w:tc>
        <w:tc>
          <w:tcPr>
            <w:tcW w:w="1200" w:type="dxa"/>
            <w:tcBorders>
              <w:top w:val="nil"/>
              <w:left w:val="nil"/>
              <w:bottom w:val="single" w:sz="4" w:space="0" w:color="auto"/>
              <w:right w:val="single" w:sz="4" w:space="0" w:color="auto"/>
            </w:tcBorders>
            <w:shd w:val="clear" w:color="auto" w:fill="auto"/>
            <w:noWrap/>
            <w:vAlign w:val="bottom"/>
            <w:hideMark/>
          </w:tcPr>
          <w:p w:rsidR="003E7BDE" w:rsidRDefault="003E7BDE" w:rsidP="003E7BDE">
            <w:pPr>
              <w:spacing w:after="100" w:afterAutospacing="1"/>
              <w:jc w:val="right"/>
              <w:rPr>
                <w:rFonts w:ascii="Tahoma" w:hAnsi="Tahoma" w:cs="Tahoma"/>
                <w:color w:val="000000"/>
                <w:sz w:val="16"/>
                <w:szCs w:val="16"/>
              </w:rPr>
            </w:pPr>
            <w:r>
              <w:rPr>
                <w:rFonts w:ascii="Tahoma" w:hAnsi="Tahoma" w:cs="Tahoma"/>
                <w:color w:val="000000"/>
                <w:sz w:val="16"/>
                <w:szCs w:val="16"/>
              </w:rPr>
              <w:t>2298</w:t>
            </w:r>
          </w:p>
        </w:tc>
        <w:tc>
          <w:tcPr>
            <w:tcW w:w="1200" w:type="dxa"/>
            <w:tcBorders>
              <w:top w:val="nil"/>
              <w:left w:val="nil"/>
              <w:bottom w:val="single" w:sz="4" w:space="0" w:color="auto"/>
              <w:right w:val="single" w:sz="4" w:space="0" w:color="auto"/>
            </w:tcBorders>
            <w:shd w:val="clear" w:color="auto" w:fill="auto"/>
            <w:noWrap/>
            <w:vAlign w:val="bottom"/>
            <w:hideMark/>
          </w:tcPr>
          <w:p w:rsidR="003E7BDE" w:rsidRDefault="003E7BDE" w:rsidP="003E7BDE">
            <w:pPr>
              <w:spacing w:after="100" w:afterAutospacing="1"/>
              <w:jc w:val="right"/>
              <w:rPr>
                <w:rFonts w:ascii="Tahoma" w:hAnsi="Tahoma" w:cs="Tahoma"/>
                <w:color w:val="000000"/>
                <w:sz w:val="16"/>
                <w:szCs w:val="16"/>
              </w:rPr>
            </w:pPr>
            <w:r>
              <w:rPr>
                <w:rFonts w:ascii="Tahoma" w:hAnsi="Tahoma" w:cs="Tahoma"/>
                <w:color w:val="000000"/>
                <w:sz w:val="16"/>
                <w:szCs w:val="16"/>
              </w:rPr>
              <w:t>2334</w:t>
            </w:r>
          </w:p>
        </w:tc>
        <w:tc>
          <w:tcPr>
            <w:tcW w:w="1200" w:type="dxa"/>
            <w:tcBorders>
              <w:top w:val="nil"/>
              <w:left w:val="nil"/>
              <w:bottom w:val="single" w:sz="4" w:space="0" w:color="auto"/>
              <w:right w:val="single" w:sz="4" w:space="0" w:color="auto"/>
            </w:tcBorders>
            <w:shd w:val="clear" w:color="auto" w:fill="auto"/>
            <w:noWrap/>
            <w:vAlign w:val="bottom"/>
            <w:hideMark/>
          </w:tcPr>
          <w:p w:rsidR="003E7BDE" w:rsidRDefault="003E7BDE" w:rsidP="003E7BDE">
            <w:pPr>
              <w:spacing w:after="100" w:afterAutospacing="1"/>
              <w:jc w:val="right"/>
              <w:rPr>
                <w:rFonts w:ascii="Tahoma" w:hAnsi="Tahoma" w:cs="Tahoma"/>
                <w:color w:val="000000"/>
                <w:sz w:val="16"/>
                <w:szCs w:val="16"/>
              </w:rPr>
            </w:pPr>
            <w:r>
              <w:rPr>
                <w:rFonts w:ascii="Tahoma" w:hAnsi="Tahoma" w:cs="Tahoma"/>
                <w:color w:val="000000"/>
                <w:sz w:val="16"/>
                <w:szCs w:val="16"/>
              </w:rPr>
              <w:t>2396</w:t>
            </w:r>
          </w:p>
        </w:tc>
        <w:tc>
          <w:tcPr>
            <w:tcW w:w="1200" w:type="dxa"/>
            <w:tcBorders>
              <w:top w:val="nil"/>
              <w:left w:val="nil"/>
              <w:bottom w:val="single" w:sz="4" w:space="0" w:color="auto"/>
              <w:right w:val="single" w:sz="4" w:space="0" w:color="auto"/>
            </w:tcBorders>
            <w:shd w:val="clear" w:color="auto" w:fill="auto"/>
            <w:noWrap/>
            <w:vAlign w:val="bottom"/>
            <w:hideMark/>
          </w:tcPr>
          <w:p w:rsidR="003E7BDE" w:rsidRDefault="003E7BDE" w:rsidP="003E7BDE">
            <w:pPr>
              <w:spacing w:after="100" w:afterAutospacing="1"/>
              <w:jc w:val="right"/>
              <w:rPr>
                <w:rFonts w:ascii="Tahoma" w:hAnsi="Tahoma" w:cs="Tahoma"/>
                <w:color w:val="000000"/>
                <w:sz w:val="16"/>
                <w:szCs w:val="16"/>
              </w:rPr>
            </w:pPr>
            <w:r>
              <w:rPr>
                <w:rFonts w:ascii="Tahoma" w:hAnsi="Tahoma" w:cs="Tahoma"/>
                <w:color w:val="000000"/>
                <w:sz w:val="16"/>
                <w:szCs w:val="16"/>
              </w:rPr>
              <w:t>2434</w:t>
            </w:r>
          </w:p>
        </w:tc>
        <w:tc>
          <w:tcPr>
            <w:tcW w:w="1200" w:type="dxa"/>
            <w:tcBorders>
              <w:top w:val="nil"/>
              <w:left w:val="nil"/>
              <w:bottom w:val="single" w:sz="4" w:space="0" w:color="auto"/>
              <w:right w:val="single" w:sz="4" w:space="0" w:color="auto"/>
            </w:tcBorders>
            <w:shd w:val="clear" w:color="auto" w:fill="auto"/>
            <w:noWrap/>
            <w:vAlign w:val="bottom"/>
            <w:hideMark/>
          </w:tcPr>
          <w:p w:rsidR="003E7BDE" w:rsidRDefault="003E7BDE" w:rsidP="003E7BDE">
            <w:pPr>
              <w:spacing w:after="100" w:afterAutospacing="1"/>
              <w:jc w:val="right"/>
              <w:rPr>
                <w:rFonts w:ascii="Tahoma" w:hAnsi="Tahoma" w:cs="Tahoma"/>
                <w:color w:val="000000"/>
                <w:sz w:val="16"/>
                <w:szCs w:val="16"/>
              </w:rPr>
            </w:pPr>
            <w:r>
              <w:rPr>
                <w:rFonts w:ascii="Tahoma" w:hAnsi="Tahoma" w:cs="Tahoma"/>
                <w:color w:val="000000"/>
                <w:sz w:val="16"/>
                <w:szCs w:val="16"/>
              </w:rPr>
              <w:t>2490</w:t>
            </w:r>
          </w:p>
        </w:tc>
      </w:tr>
    </w:tbl>
    <w:p w:rsidR="00A55118" w:rsidRDefault="00A55118">
      <w:pPr>
        <w:rPr>
          <w:rFonts w:ascii="Segoe UI" w:hAnsi="Segoe UI" w:cs="Segoe UI"/>
          <w:sz w:val="20"/>
        </w:rPr>
      </w:pPr>
    </w:p>
    <w:p w:rsid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55118" w:rsidRDefault="00A55118">
      <w:pPr>
        <w:rPr>
          <w:rFonts w:ascii="Segoe UI" w:hAnsi="Segoe UI" w:cs="Segoe UI"/>
          <w:sz w:val="20"/>
        </w:rPr>
      </w:pPr>
    </w:p>
    <w:p w:rsidR="00A55118" w:rsidRP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45CF6" w:rsidRDefault="00445CF6">
      <w:pPr>
        <w:rPr>
          <w:rFonts w:ascii="Segoe UI" w:hAnsi="Segoe UI" w:cs="Segoe UI"/>
        </w:rPr>
      </w:pPr>
    </w:p>
    <w:p w:rsidR="001F4A28" w:rsidRDefault="001F4A28">
      <w:pPr>
        <w:rPr>
          <w:rFonts w:ascii="Segoe UI" w:hAnsi="Segoe UI" w:cs="Segoe UI"/>
        </w:rPr>
      </w:pPr>
    </w:p>
    <w:p w:rsidR="00616D21" w:rsidRDefault="00616D21">
      <w:pPr>
        <w:rPr>
          <w:rFonts w:ascii="Segoe UI" w:hAnsi="Segoe UI" w:cs="Segoe UI"/>
        </w:rPr>
      </w:pPr>
    </w:p>
    <w:p w:rsidR="00A55118" w:rsidRDefault="00A55118">
      <w:pPr>
        <w:rPr>
          <w:rFonts w:ascii="Segoe UI" w:hAnsi="Segoe UI" w:cs="Segoe UI"/>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Car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44873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45190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46126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46785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47789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96721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96181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97976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98735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100609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108056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108103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110362</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112089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114258</w:t>
            </w:r>
          </w:p>
        </w:tc>
      </w:tr>
      <w:tr w:rsidR="003E7BDE"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E7BDE" w:rsidRDefault="003E7BDE" w:rsidP="003E7BDE">
            <w:pPr>
              <w:spacing w:after="100" w:afterAutospacing="1"/>
              <w:rPr>
                <w:rFonts w:ascii="Tahoma" w:hAnsi="Tahoma" w:cs="Tahoma"/>
                <w:color w:val="000000"/>
                <w:sz w:val="16"/>
                <w:szCs w:val="16"/>
              </w:rPr>
            </w:pPr>
            <w:r>
              <w:rPr>
                <w:rFonts w:ascii="Tahoma" w:hAnsi="Tahoma" w:cs="Tahoma"/>
                <w:color w:val="000000"/>
                <w:sz w:val="16"/>
                <w:szCs w:val="16"/>
              </w:rPr>
              <w:t>Dorset</w:t>
            </w:r>
          </w:p>
        </w:tc>
        <w:tc>
          <w:tcPr>
            <w:tcW w:w="1200" w:type="dxa"/>
            <w:tcBorders>
              <w:top w:val="nil"/>
              <w:left w:val="nil"/>
              <w:bottom w:val="single" w:sz="4" w:space="0" w:color="auto"/>
              <w:right w:val="single" w:sz="4" w:space="0" w:color="auto"/>
            </w:tcBorders>
            <w:shd w:val="clear" w:color="auto" w:fill="auto"/>
            <w:noWrap/>
            <w:vAlign w:val="bottom"/>
            <w:hideMark/>
          </w:tcPr>
          <w:p w:rsidR="003E7BDE" w:rsidRDefault="003E7BDE" w:rsidP="003E7BDE">
            <w:pPr>
              <w:spacing w:after="100" w:afterAutospacing="1"/>
              <w:jc w:val="right"/>
              <w:rPr>
                <w:rFonts w:ascii="Tahoma" w:hAnsi="Tahoma" w:cs="Tahoma"/>
                <w:color w:val="000000"/>
                <w:sz w:val="16"/>
                <w:szCs w:val="16"/>
              </w:rPr>
            </w:pPr>
            <w:r>
              <w:rPr>
                <w:rFonts w:ascii="Tahoma" w:hAnsi="Tahoma" w:cs="Tahoma"/>
                <w:color w:val="000000"/>
                <w:sz w:val="16"/>
                <w:szCs w:val="16"/>
              </w:rPr>
              <w:t>1830</w:t>
            </w:r>
          </w:p>
        </w:tc>
        <w:tc>
          <w:tcPr>
            <w:tcW w:w="1200" w:type="dxa"/>
            <w:tcBorders>
              <w:top w:val="nil"/>
              <w:left w:val="nil"/>
              <w:bottom w:val="single" w:sz="4" w:space="0" w:color="auto"/>
              <w:right w:val="single" w:sz="4" w:space="0" w:color="auto"/>
            </w:tcBorders>
            <w:shd w:val="clear" w:color="auto" w:fill="auto"/>
            <w:noWrap/>
            <w:vAlign w:val="bottom"/>
            <w:hideMark/>
          </w:tcPr>
          <w:p w:rsidR="003E7BDE" w:rsidRDefault="003E7BDE" w:rsidP="003E7BDE">
            <w:pPr>
              <w:spacing w:after="100" w:afterAutospacing="1"/>
              <w:jc w:val="right"/>
              <w:rPr>
                <w:rFonts w:ascii="Tahoma" w:hAnsi="Tahoma" w:cs="Tahoma"/>
                <w:color w:val="000000"/>
                <w:sz w:val="16"/>
                <w:szCs w:val="16"/>
              </w:rPr>
            </w:pPr>
            <w:r>
              <w:rPr>
                <w:rFonts w:ascii="Tahoma" w:hAnsi="Tahoma" w:cs="Tahoma"/>
                <w:color w:val="000000"/>
                <w:sz w:val="16"/>
                <w:szCs w:val="16"/>
              </w:rPr>
              <w:t>1854</w:t>
            </w:r>
          </w:p>
        </w:tc>
        <w:tc>
          <w:tcPr>
            <w:tcW w:w="1200" w:type="dxa"/>
            <w:tcBorders>
              <w:top w:val="nil"/>
              <w:left w:val="nil"/>
              <w:bottom w:val="single" w:sz="4" w:space="0" w:color="auto"/>
              <w:right w:val="single" w:sz="4" w:space="0" w:color="auto"/>
            </w:tcBorders>
            <w:shd w:val="clear" w:color="auto" w:fill="auto"/>
            <w:noWrap/>
            <w:vAlign w:val="bottom"/>
            <w:hideMark/>
          </w:tcPr>
          <w:p w:rsidR="003E7BDE" w:rsidRDefault="003E7BDE" w:rsidP="003E7BDE">
            <w:pPr>
              <w:spacing w:after="100" w:afterAutospacing="1"/>
              <w:jc w:val="right"/>
              <w:rPr>
                <w:rFonts w:ascii="Tahoma" w:hAnsi="Tahoma" w:cs="Tahoma"/>
                <w:color w:val="000000"/>
                <w:sz w:val="16"/>
                <w:szCs w:val="16"/>
              </w:rPr>
            </w:pPr>
            <w:r>
              <w:rPr>
                <w:rFonts w:ascii="Tahoma" w:hAnsi="Tahoma" w:cs="Tahoma"/>
                <w:color w:val="000000"/>
                <w:sz w:val="16"/>
                <w:szCs w:val="16"/>
              </w:rPr>
              <w:t>1893</w:t>
            </w:r>
          </w:p>
        </w:tc>
        <w:tc>
          <w:tcPr>
            <w:tcW w:w="1200" w:type="dxa"/>
            <w:tcBorders>
              <w:top w:val="nil"/>
              <w:left w:val="nil"/>
              <w:bottom w:val="single" w:sz="4" w:space="0" w:color="auto"/>
              <w:right w:val="single" w:sz="4" w:space="0" w:color="auto"/>
            </w:tcBorders>
            <w:shd w:val="clear" w:color="auto" w:fill="auto"/>
            <w:noWrap/>
            <w:vAlign w:val="bottom"/>
            <w:hideMark/>
          </w:tcPr>
          <w:p w:rsidR="003E7BDE" w:rsidRDefault="003E7BDE" w:rsidP="003E7BDE">
            <w:pPr>
              <w:spacing w:after="100" w:afterAutospacing="1"/>
              <w:jc w:val="right"/>
              <w:rPr>
                <w:rFonts w:ascii="Tahoma" w:hAnsi="Tahoma" w:cs="Tahoma"/>
                <w:color w:val="000000"/>
                <w:sz w:val="16"/>
                <w:szCs w:val="16"/>
              </w:rPr>
            </w:pPr>
            <w:r>
              <w:rPr>
                <w:rFonts w:ascii="Tahoma" w:hAnsi="Tahoma" w:cs="Tahoma"/>
                <w:color w:val="000000"/>
                <w:sz w:val="16"/>
                <w:szCs w:val="16"/>
              </w:rPr>
              <w:t>1913</w:t>
            </w:r>
          </w:p>
        </w:tc>
        <w:tc>
          <w:tcPr>
            <w:tcW w:w="1200" w:type="dxa"/>
            <w:tcBorders>
              <w:top w:val="nil"/>
              <w:left w:val="nil"/>
              <w:bottom w:val="single" w:sz="4" w:space="0" w:color="auto"/>
              <w:right w:val="single" w:sz="4" w:space="0" w:color="auto"/>
            </w:tcBorders>
            <w:shd w:val="clear" w:color="auto" w:fill="auto"/>
            <w:noWrap/>
            <w:vAlign w:val="bottom"/>
            <w:hideMark/>
          </w:tcPr>
          <w:p w:rsidR="003E7BDE" w:rsidRDefault="003E7BDE" w:rsidP="003E7BDE">
            <w:pPr>
              <w:spacing w:after="100" w:afterAutospacing="1"/>
              <w:jc w:val="right"/>
              <w:rPr>
                <w:rFonts w:ascii="Tahoma" w:hAnsi="Tahoma" w:cs="Tahoma"/>
                <w:color w:val="000000"/>
                <w:sz w:val="16"/>
                <w:szCs w:val="16"/>
              </w:rPr>
            </w:pPr>
            <w:r>
              <w:rPr>
                <w:rFonts w:ascii="Tahoma" w:hAnsi="Tahoma" w:cs="Tahoma"/>
                <w:color w:val="000000"/>
                <w:sz w:val="16"/>
                <w:szCs w:val="16"/>
              </w:rPr>
              <w:t>1949</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55118" w:rsidRDefault="00A55118">
      <w:pPr>
        <w:rPr>
          <w:rFonts w:ascii="Segoe UI" w:hAnsi="Segoe UI" w:cs="Segoe UI"/>
        </w:rPr>
      </w:pPr>
    </w:p>
    <w:p w:rsidR="00445CF6"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55118" w:rsidRDefault="00A55118">
      <w:pPr>
        <w:rPr>
          <w:rFonts w:ascii="Segoe UI" w:hAnsi="Segoe UI" w:cs="Segoe UI"/>
        </w:rPr>
      </w:pPr>
    </w:p>
    <w:p w:rsidR="00A55118" w:rsidRDefault="00A55118">
      <w:pPr>
        <w:rPr>
          <w:rFonts w:ascii="Segoe UI" w:hAnsi="Segoe UI" w:cs="Segoe UI"/>
        </w:rPr>
      </w:pPr>
      <w:r>
        <w:rPr>
          <w:rFonts w:ascii="Segoe UI" w:hAnsi="Segoe UI" w:cs="Segoe UI"/>
        </w:rPr>
        <w:br w:type="page"/>
      </w:r>
    </w:p>
    <w:tbl>
      <w:tblPr>
        <w:tblW w:w="9365" w:type="dxa"/>
        <w:tblInd w:w="108" w:type="dxa"/>
        <w:tblLook w:val="04A0"/>
      </w:tblPr>
      <w:tblGrid>
        <w:gridCol w:w="4095"/>
        <w:gridCol w:w="1054"/>
        <w:gridCol w:w="1054"/>
        <w:gridCol w:w="1054"/>
        <w:gridCol w:w="1054"/>
        <w:gridCol w:w="1054"/>
      </w:tblGrid>
      <w:tr w:rsidR="00A55118" w:rsidRPr="00A55118" w:rsidTr="00A55118">
        <w:trPr>
          <w:trHeight w:val="300"/>
        </w:trPr>
        <w:tc>
          <w:tcPr>
            <w:tcW w:w="4095"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527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 excluding trunk roads</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39056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39428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40660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41371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42317</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88003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87561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89587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90148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91772</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84303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84677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87400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88865</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90834</w:t>
            </w:r>
          </w:p>
        </w:tc>
      </w:tr>
      <w:tr w:rsidR="003E7BDE"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3E7BDE" w:rsidRDefault="003E7BDE" w:rsidP="003E7BDE">
            <w:pPr>
              <w:spacing w:after="100" w:afterAutospacing="1"/>
              <w:rPr>
                <w:rFonts w:ascii="Tahoma" w:hAnsi="Tahoma" w:cs="Tahoma"/>
                <w:color w:val="000000"/>
                <w:sz w:val="16"/>
                <w:szCs w:val="16"/>
              </w:rPr>
            </w:pPr>
            <w:r>
              <w:rPr>
                <w:rFonts w:ascii="Tahoma" w:hAnsi="Tahoma" w:cs="Tahoma"/>
                <w:color w:val="000000"/>
                <w:sz w:val="16"/>
                <w:szCs w:val="16"/>
              </w:rPr>
              <w:t>Dorset</w:t>
            </w:r>
          </w:p>
        </w:tc>
        <w:tc>
          <w:tcPr>
            <w:tcW w:w="1054" w:type="dxa"/>
            <w:tcBorders>
              <w:top w:val="nil"/>
              <w:left w:val="nil"/>
              <w:bottom w:val="single" w:sz="4" w:space="0" w:color="auto"/>
              <w:right w:val="single" w:sz="4" w:space="0" w:color="auto"/>
            </w:tcBorders>
            <w:shd w:val="clear" w:color="auto" w:fill="auto"/>
            <w:noWrap/>
            <w:vAlign w:val="bottom"/>
            <w:hideMark/>
          </w:tcPr>
          <w:p w:rsidR="003E7BDE" w:rsidRDefault="003E7BDE" w:rsidP="003E7BDE">
            <w:pPr>
              <w:spacing w:after="100" w:afterAutospacing="1"/>
              <w:jc w:val="right"/>
              <w:rPr>
                <w:rFonts w:ascii="Tahoma" w:hAnsi="Tahoma" w:cs="Tahoma"/>
                <w:color w:val="000000"/>
                <w:sz w:val="16"/>
                <w:szCs w:val="16"/>
              </w:rPr>
            </w:pPr>
            <w:r>
              <w:rPr>
                <w:rFonts w:ascii="Tahoma" w:hAnsi="Tahoma" w:cs="Tahoma"/>
                <w:color w:val="000000"/>
                <w:sz w:val="16"/>
                <w:szCs w:val="16"/>
              </w:rPr>
              <w:t>1899</w:t>
            </w:r>
          </w:p>
        </w:tc>
        <w:tc>
          <w:tcPr>
            <w:tcW w:w="1054" w:type="dxa"/>
            <w:tcBorders>
              <w:top w:val="nil"/>
              <w:left w:val="nil"/>
              <w:bottom w:val="single" w:sz="4" w:space="0" w:color="auto"/>
              <w:right w:val="single" w:sz="4" w:space="0" w:color="auto"/>
            </w:tcBorders>
            <w:shd w:val="clear" w:color="auto" w:fill="auto"/>
            <w:noWrap/>
            <w:vAlign w:val="bottom"/>
            <w:hideMark/>
          </w:tcPr>
          <w:p w:rsidR="003E7BDE" w:rsidRDefault="003E7BDE" w:rsidP="003E7BDE">
            <w:pPr>
              <w:spacing w:after="100" w:afterAutospacing="1"/>
              <w:jc w:val="right"/>
              <w:rPr>
                <w:rFonts w:ascii="Tahoma" w:hAnsi="Tahoma" w:cs="Tahoma"/>
                <w:color w:val="000000"/>
                <w:sz w:val="16"/>
                <w:szCs w:val="16"/>
              </w:rPr>
            </w:pPr>
            <w:r>
              <w:rPr>
                <w:rFonts w:ascii="Tahoma" w:hAnsi="Tahoma" w:cs="Tahoma"/>
                <w:color w:val="000000"/>
                <w:sz w:val="16"/>
                <w:szCs w:val="16"/>
              </w:rPr>
              <w:t>1933</w:t>
            </w:r>
          </w:p>
        </w:tc>
        <w:tc>
          <w:tcPr>
            <w:tcW w:w="1054" w:type="dxa"/>
            <w:tcBorders>
              <w:top w:val="nil"/>
              <w:left w:val="nil"/>
              <w:bottom w:val="single" w:sz="4" w:space="0" w:color="auto"/>
              <w:right w:val="single" w:sz="4" w:space="0" w:color="auto"/>
            </w:tcBorders>
            <w:shd w:val="clear" w:color="auto" w:fill="auto"/>
            <w:noWrap/>
            <w:vAlign w:val="bottom"/>
            <w:hideMark/>
          </w:tcPr>
          <w:p w:rsidR="003E7BDE" w:rsidRDefault="003E7BDE" w:rsidP="003E7BDE">
            <w:pPr>
              <w:spacing w:after="100" w:afterAutospacing="1"/>
              <w:jc w:val="right"/>
              <w:rPr>
                <w:rFonts w:ascii="Tahoma" w:hAnsi="Tahoma" w:cs="Tahoma"/>
                <w:color w:val="000000"/>
                <w:sz w:val="16"/>
                <w:szCs w:val="16"/>
              </w:rPr>
            </w:pPr>
            <w:r>
              <w:rPr>
                <w:rFonts w:ascii="Tahoma" w:hAnsi="Tahoma" w:cs="Tahoma"/>
                <w:color w:val="000000"/>
                <w:sz w:val="16"/>
                <w:szCs w:val="16"/>
              </w:rPr>
              <w:t>1988</w:t>
            </w:r>
          </w:p>
        </w:tc>
        <w:tc>
          <w:tcPr>
            <w:tcW w:w="1054" w:type="dxa"/>
            <w:tcBorders>
              <w:top w:val="nil"/>
              <w:left w:val="nil"/>
              <w:bottom w:val="single" w:sz="4" w:space="0" w:color="auto"/>
              <w:right w:val="single" w:sz="4" w:space="0" w:color="auto"/>
            </w:tcBorders>
            <w:shd w:val="clear" w:color="auto" w:fill="auto"/>
            <w:noWrap/>
            <w:vAlign w:val="bottom"/>
            <w:hideMark/>
          </w:tcPr>
          <w:p w:rsidR="003E7BDE" w:rsidRDefault="003E7BDE" w:rsidP="003E7BDE">
            <w:pPr>
              <w:spacing w:after="100" w:afterAutospacing="1"/>
              <w:jc w:val="right"/>
              <w:rPr>
                <w:rFonts w:ascii="Tahoma" w:hAnsi="Tahoma" w:cs="Tahoma"/>
                <w:color w:val="000000"/>
                <w:sz w:val="16"/>
                <w:szCs w:val="16"/>
              </w:rPr>
            </w:pPr>
            <w:r>
              <w:rPr>
                <w:rFonts w:ascii="Tahoma" w:hAnsi="Tahoma" w:cs="Tahoma"/>
                <w:color w:val="000000"/>
                <w:sz w:val="16"/>
                <w:szCs w:val="16"/>
              </w:rPr>
              <w:t>2014</w:t>
            </w:r>
          </w:p>
        </w:tc>
        <w:tc>
          <w:tcPr>
            <w:tcW w:w="1054" w:type="dxa"/>
            <w:tcBorders>
              <w:top w:val="nil"/>
              <w:left w:val="nil"/>
              <w:bottom w:val="single" w:sz="4" w:space="0" w:color="auto"/>
              <w:right w:val="single" w:sz="4" w:space="0" w:color="auto"/>
            </w:tcBorders>
            <w:shd w:val="clear" w:color="auto" w:fill="auto"/>
            <w:noWrap/>
            <w:vAlign w:val="bottom"/>
            <w:hideMark/>
          </w:tcPr>
          <w:p w:rsidR="003E7BDE" w:rsidRDefault="003E7BDE" w:rsidP="003E7BDE">
            <w:pPr>
              <w:spacing w:after="100" w:afterAutospacing="1"/>
              <w:jc w:val="right"/>
              <w:rPr>
                <w:rFonts w:ascii="Tahoma" w:hAnsi="Tahoma" w:cs="Tahoma"/>
                <w:color w:val="000000"/>
                <w:sz w:val="16"/>
                <w:szCs w:val="16"/>
              </w:rPr>
            </w:pPr>
            <w:r>
              <w:rPr>
                <w:rFonts w:ascii="Tahoma" w:hAnsi="Tahoma" w:cs="Tahoma"/>
                <w:color w:val="000000"/>
                <w:sz w:val="16"/>
                <w:szCs w:val="16"/>
              </w:rPr>
              <w:t>2060</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616D21" w:rsidRDefault="00616D21">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B236D" w:rsidRDefault="00EB236D">
      <w:pPr>
        <w:rPr>
          <w:rFonts w:ascii="Segoe UI" w:hAnsi="Segoe UI" w:cs="Segoe UI"/>
        </w:rPr>
      </w:pPr>
    </w:p>
    <w:p w:rsidR="00630C41" w:rsidRDefault="00630C41">
      <w:pPr>
        <w:rPr>
          <w:rFonts w:ascii="Segoe UI" w:hAnsi="Segoe UI" w:cs="Segoe UI"/>
        </w:rPr>
      </w:pPr>
      <w:r>
        <w:rPr>
          <w:rFonts w:ascii="Segoe UI" w:hAnsi="Segoe UI" w:cs="Segoe UI"/>
        </w:rPr>
        <w:br w:type="page"/>
      </w:r>
    </w:p>
    <w:p w:rsidR="00EB236D" w:rsidRDefault="00630C41">
      <w:pPr>
        <w:rPr>
          <w:rFonts w:ascii="Segoe UI" w:hAnsi="Segoe UI" w:cs="Segoe UI"/>
        </w:rPr>
      </w:pPr>
      <w:r w:rsidRPr="00630C41">
        <w:rPr>
          <w:rFonts w:ascii="Segoe UI" w:hAnsi="Segoe UI" w:cs="Segoe UI"/>
          <w:noProof/>
          <w:lang w:eastAsia="en-GB"/>
        </w:rPr>
        <w:lastRenderedPageBreak/>
        <w:drawing>
          <wp:inline distT="0" distB="0" distL="0" distR="0">
            <wp:extent cx="5753100" cy="2743200"/>
            <wp:effectExtent l="19050" t="0" r="19050" b="0"/>
            <wp:docPr id="9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C13421" w:rsidRDefault="00C13421" w:rsidP="009504FF">
      <w:pPr>
        <w:rPr>
          <w:rFonts w:ascii="Segoe UI" w:hAnsi="Segoe UI" w:cs="Segoe UI"/>
          <w:i/>
          <w:sz w:val="18"/>
        </w:rPr>
      </w:pPr>
    </w:p>
    <w:p w:rsidR="009504FF" w:rsidRPr="009504FF" w:rsidRDefault="00C13421" w:rsidP="009504FF">
      <w:pPr>
        <w:rPr>
          <w:rFonts w:ascii="Segoe UI" w:hAnsi="Segoe UI" w:cs="Segoe UI"/>
          <w:i/>
          <w:sz w:val="18"/>
        </w:rPr>
      </w:pPr>
      <w:r>
        <w:rPr>
          <w:rFonts w:ascii="Segoe UI" w:hAnsi="Segoe UI" w:cs="Segoe UI"/>
          <w:i/>
          <w:sz w:val="18"/>
        </w:rPr>
        <w:t xml:space="preserve">Motor Vehicle Flow - </w:t>
      </w:r>
      <w:r w:rsidR="009504FF" w:rsidRPr="009504FF">
        <w:rPr>
          <w:rFonts w:ascii="Segoe UI" w:hAnsi="Segoe UI" w:cs="Segoe UI"/>
          <w:i/>
          <w:sz w:val="18"/>
        </w:rPr>
        <w:t>The number of vehicles passing in 24 hours at an average point on the road network in each local authority. This controls for differing length of road in each authority, providing a measure of how heavily used the roads are.</w:t>
      </w:r>
    </w:p>
    <w:p w:rsidR="00616D21" w:rsidRPr="009504FF" w:rsidRDefault="009504FF" w:rsidP="009504FF">
      <w:pPr>
        <w:rPr>
          <w:rFonts w:ascii="Segoe UI" w:hAnsi="Segoe UI" w:cs="Segoe UI"/>
          <w:i/>
          <w:sz w:val="18"/>
        </w:rPr>
      </w:pPr>
      <w:r w:rsidRPr="009504FF">
        <w:rPr>
          <w:rFonts w:ascii="Segoe UI" w:hAnsi="Segoe UI" w:cs="Segoe UI"/>
          <w:i/>
          <w:sz w:val="18"/>
        </w:rPr>
        <w:t>It is calculated by dividing the estimate of annual vehicle miles in each local authority by the length of road in that authority and number of days in the year</w:t>
      </w:r>
    </w:p>
    <w:p w:rsidR="00EB236D" w:rsidRDefault="00EB236D">
      <w:pPr>
        <w:rPr>
          <w:rFonts w:ascii="Segoe UI" w:hAnsi="Segoe UI" w:cs="Segoe UI"/>
        </w:rPr>
      </w:pPr>
    </w:p>
    <w:p w:rsidR="00616D21" w:rsidRDefault="00616D21">
      <w:pPr>
        <w:rPr>
          <w:rFonts w:ascii="Segoe UI" w:hAnsi="Segoe UI" w:cs="Segoe UI"/>
        </w:rPr>
      </w:pPr>
    </w:p>
    <w:p w:rsidR="002D62CB" w:rsidRDefault="002D62CB">
      <w:pPr>
        <w:rPr>
          <w:rFonts w:ascii="Segoe UI" w:hAnsi="Segoe UI" w:cs="Segoe UI"/>
        </w:rPr>
      </w:pPr>
    </w:p>
    <w:p w:rsidR="00765529" w:rsidRDefault="00765529">
      <w:pPr>
        <w:rPr>
          <w:rFonts w:ascii="Segoe UI" w:hAnsi="Segoe UI" w:cs="Segoe UI"/>
        </w:rPr>
      </w:pPr>
    </w:p>
    <w:p w:rsidR="00C13421" w:rsidRDefault="00C13421">
      <w:pPr>
        <w:rPr>
          <w:rFonts w:ascii="Segoe UI" w:hAnsi="Segoe UI" w:cs="Segoe UI"/>
          <w:b/>
          <w:u w:val="single"/>
        </w:rPr>
      </w:pPr>
      <w:bookmarkStart w:id="2" w:name="Road"/>
      <w:bookmarkEnd w:id="2"/>
      <w:r>
        <w:rPr>
          <w:rFonts w:ascii="Segoe UI" w:hAnsi="Segoe UI" w:cs="Segoe UI"/>
          <w:b/>
          <w:u w:val="single"/>
        </w:rPr>
        <w:br w:type="page"/>
      </w:r>
    </w:p>
    <w:p w:rsidR="00B66EC4" w:rsidRDefault="00214346">
      <w:pPr>
        <w:rPr>
          <w:rFonts w:ascii="Segoe UI" w:hAnsi="Segoe UI" w:cs="Segoe UI"/>
          <w:b/>
          <w:u w:val="single"/>
        </w:rPr>
      </w:pPr>
      <w:r>
        <w:rPr>
          <w:rFonts w:ascii="Segoe UI" w:hAnsi="Segoe UI" w:cs="Segoe UI"/>
          <w:b/>
          <w:u w:val="single"/>
        </w:rPr>
        <w:lastRenderedPageBreak/>
        <w:t>Road network</w:t>
      </w:r>
    </w:p>
    <w:p w:rsidR="00357E6D" w:rsidRPr="00357E6D" w:rsidRDefault="00357E6D">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SCANNER (Surface Condition Assessment for the National Network of Roads) data are collected using automated road condition survey machines. Although each machine is accredited for accuracy and readings fall within the accepted boundaries of the SCANNER specification for road condition, there is still variability between the results that each machine delivers. This can lead to changes in the figures over time that are for reasons beyond the condition of the road, and above the expected range of variability that already exists within the data. Caution should therefore be taken when comparing the figu</w:t>
      </w:r>
      <w:r>
        <w:rPr>
          <w:rFonts w:ascii="Segoe UI" w:hAnsi="Segoe UI" w:cs="Segoe UI"/>
          <w:i/>
          <w:sz w:val="16"/>
        </w:rPr>
        <w:t>res across years.  Additionally, a</w:t>
      </w:r>
      <w:r w:rsidRPr="00357E6D">
        <w:rPr>
          <w:rFonts w:ascii="Segoe UI" w:hAnsi="Segoe UI" w:cs="Segoe UI"/>
          <w:i/>
          <w:sz w:val="16"/>
        </w:rPr>
        <w:t>lternative technologies to SCANNER surveys were used to collect data for some local authorities.</w:t>
      </w:r>
      <w:r>
        <w:rPr>
          <w:rFonts w:ascii="Segoe UI" w:hAnsi="Segoe UI" w:cs="Segoe UI"/>
          <w:i/>
          <w:sz w:val="16"/>
        </w:rPr>
        <w:t xml:space="preserve">  The following charts show the data such as it is, but should be read in mind of the caveats as stated.</w:t>
      </w:r>
    </w:p>
    <w:p w:rsidR="00C13421" w:rsidRDefault="00C13421">
      <w:pPr>
        <w:rPr>
          <w:rFonts w:ascii="Segoe UI" w:hAnsi="Segoe UI" w:cs="Segoe UI"/>
        </w:rPr>
      </w:pPr>
    </w:p>
    <w:p w:rsidR="00137983" w:rsidRDefault="00630C41">
      <w:pPr>
        <w:rPr>
          <w:rFonts w:ascii="Segoe UI" w:hAnsi="Segoe UI" w:cs="Segoe UI"/>
        </w:rPr>
      </w:pPr>
      <w:r w:rsidRPr="00630C41">
        <w:rPr>
          <w:rFonts w:ascii="Segoe UI" w:hAnsi="Segoe UI" w:cs="Segoe UI"/>
        </w:rPr>
        <w:t>Principal and non-principal classified roads where maintenance should be considered</w:t>
      </w: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76475"/>
            <wp:effectExtent l="19050" t="0" r="19050" b="0"/>
            <wp:docPr id="9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630C41" w:rsidRDefault="00630C41">
      <w:pPr>
        <w:rPr>
          <w:rFonts w:ascii="Segoe UI" w:hAnsi="Segoe UI" w:cs="Segoe UI"/>
        </w:rPr>
      </w:pP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66950"/>
            <wp:effectExtent l="19050" t="0" r="19050" b="0"/>
            <wp:docPr id="99"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630C41" w:rsidRDefault="00630C41">
      <w:pPr>
        <w:rPr>
          <w:rFonts w:ascii="Segoe UI" w:hAnsi="Segoe UI" w:cs="Segoe UI"/>
        </w:rPr>
      </w:pPr>
    </w:p>
    <w:p w:rsidR="00C13421" w:rsidRDefault="00C13421">
      <w:pPr>
        <w:rPr>
          <w:rFonts w:ascii="Segoe UI" w:hAnsi="Segoe UI" w:cs="Segoe UI"/>
        </w:rPr>
      </w:pPr>
      <w:r>
        <w:rPr>
          <w:rFonts w:ascii="Segoe UI" w:hAnsi="Segoe UI" w:cs="Segoe UI"/>
        </w:rPr>
        <w:br w:type="page"/>
      </w:r>
    </w:p>
    <w:p w:rsidR="00630C41" w:rsidRDefault="00630C41">
      <w:pPr>
        <w:rPr>
          <w:rFonts w:ascii="Segoe UI" w:hAnsi="Segoe UI" w:cs="Segoe UI"/>
        </w:rPr>
      </w:pPr>
      <w:r w:rsidRPr="00630C41">
        <w:rPr>
          <w:rFonts w:ascii="Segoe UI" w:hAnsi="Segoe UI" w:cs="Segoe UI"/>
        </w:rPr>
        <w:lastRenderedPageBreak/>
        <w:t>Total road length (miles) by road type</w:t>
      </w:r>
    </w:p>
    <w:tbl>
      <w:tblPr>
        <w:tblW w:w="9923" w:type="dxa"/>
        <w:tblInd w:w="108" w:type="dxa"/>
        <w:tblLook w:val="04A0"/>
      </w:tblPr>
      <w:tblGrid>
        <w:gridCol w:w="2552"/>
        <w:gridCol w:w="2818"/>
        <w:gridCol w:w="2647"/>
        <w:gridCol w:w="1906"/>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Motorways,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motorways</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motorways</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motorways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0</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789.22</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25.72</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814.95</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1088.69</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7.33</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1096.03</w:t>
            </w:r>
          </w:p>
        </w:tc>
      </w:tr>
      <w:tr w:rsidR="00CF5D90"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CF5D90" w:rsidRDefault="00CF5D90" w:rsidP="00CF5D90">
            <w:pPr>
              <w:spacing w:after="100" w:afterAutospacing="1"/>
              <w:rPr>
                <w:rFonts w:ascii="Tahoma" w:hAnsi="Tahoma" w:cs="Tahoma"/>
                <w:color w:val="000000"/>
                <w:sz w:val="16"/>
                <w:szCs w:val="16"/>
              </w:rPr>
            </w:pPr>
            <w:r>
              <w:rPr>
                <w:rFonts w:ascii="Tahoma" w:hAnsi="Tahoma" w:cs="Tahoma"/>
                <w:color w:val="000000"/>
                <w:sz w:val="16"/>
                <w:szCs w:val="16"/>
              </w:rPr>
              <w:t>Dorset</w:t>
            </w:r>
          </w:p>
        </w:tc>
        <w:tc>
          <w:tcPr>
            <w:tcW w:w="2818" w:type="dxa"/>
            <w:tcBorders>
              <w:top w:val="nil"/>
              <w:left w:val="nil"/>
              <w:bottom w:val="single" w:sz="4" w:space="0" w:color="auto"/>
              <w:right w:val="single" w:sz="4" w:space="0" w:color="auto"/>
            </w:tcBorders>
            <w:shd w:val="clear" w:color="auto" w:fill="auto"/>
            <w:noWrap/>
            <w:vAlign w:val="bottom"/>
            <w:hideMark/>
          </w:tcPr>
          <w:p w:rsidR="00CF5D90" w:rsidRDefault="00CF5D90" w:rsidP="00CF5D90">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2647" w:type="dxa"/>
            <w:tcBorders>
              <w:top w:val="nil"/>
              <w:left w:val="nil"/>
              <w:bottom w:val="single" w:sz="4" w:space="0" w:color="auto"/>
              <w:right w:val="single" w:sz="4" w:space="0" w:color="auto"/>
            </w:tcBorders>
            <w:shd w:val="clear" w:color="auto" w:fill="auto"/>
            <w:noWrap/>
            <w:vAlign w:val="bottom"/>
            <w:hideMark/>
          </w:tcPr>
          <w:p w:rsidR="00CF5D90" w:rsidRDefault="00CF5D90" w:rsidP="00CF5D90">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906" w:type="dxa"/>
            <w:tcBorders>
              <w:top w:val="nil"/>
              <w:left w:val="nil"/>
              <w:bottom w:val="single" w:sz="4" w:space="0" w:color="auto"/>
              <w:right w:val="single" w:sz="4" w:space="0" w:color="auto"/>
            </w:tcBorders>
            <w:shd w:val="clear" w:color="auto" w:fill="auto"/>
            <w:noWrap/>
            <w:vAlign w:val="bottom"/>
            <w:hideMark/>
          </w:tcPr>
          <w:p w:rsidR="00CF5D90" w:rsidRDefault="00CF5D90" w:rsidP="00CF5D90">
            <w:pPr>
              <w:spacing w:after="100" w:afterAutospacing="1"/>
              <w:jc w:val="right"/>
              <w:rPr>
                <w:rFonts w:ascii="Tahoma" w:hAnsi="Tahoma" w:cs="Tahoma"/>
                <w:color w:val="000000"/>
                <w:sz w:val="16"/>
                <w:szCs w:val="16"/>
              </w:rPr>
            </w:pPr>
            <w:r>
              <w:rPr>
                <w:rFonts w:ascii="Tahoma" w:hAnsi="Tahoma" w:cs="Tahoma"/>
                <w:color w:val="000000"/>
                <w:sz w:val="16"/>
                <w:szCs w:val="16"/>
              </w:rPr>
              <w:t>0</w:t>
            </w:r>
          </w:p>
        </w:tc>
      </w:tr>
    </w:tbl>
    <w:p w:rsidR="00630C41" w:rsidRDefault="00630C41">
      <w:pPr>
        <w:rPr>
          <w:rFonts w:ascii="Segoe UI" w:hAnsi="Segoe UI" w:cs="Segoe UI"/>
        </w:rPr>
      </w:pPr>
    </w:p>
    <w:tbl>
      <w:tblPr>
        <w:tblW w:w="9923" w:type="dxa"/>
        <w:tblInd w:w="108" w:type="dxa"/>
        <w:tblLook w:val="04A0"/>
      </w:tblPr>
      <w:tblGrid>
        <w:gridCol w:w="2552"/>
        <w:gridCol w:w="1356"/>
        <w:gridCol w:w="1377"/>
        <w:gridCol w:w="1661"/>
        <w:gridCol w:w="1559"/>
        <w:gridCol w:w="1418"/>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rural 'A'</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urban 'A'</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rural 'A'</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urban 'A'</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'A'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1233.18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38.59</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5873.4</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592.25</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7737.38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298.8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95.71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1989.36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4096.03</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6479.91</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1666.44</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8013.15</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1867.74</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11618.34</w:t>
            </w:r>
          </w:p>
        </w:tc>
      </w:tr>
      <w:tr w:rsidR="00CF5D90"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CF5D90" w:rsidRDefault="00CF5D90" w:rsidP="00CF5D90">
            <w:pPr>
              <w:spacing w:after="100" w:afterAutospacing="1"/>
              <w:rPr>
                <w:rFonts w:ascii="Tahoma" w:hAnsi="Tahoma" w:cs="Tahoma"/>
                <w:color w:val="000000"/>
                <w:sz w:val="16"/>
                <w:szCs w:val="16"/>
              </w:rPr>
            </w:pPr>
            <w:r>
              <w:rPr>
                <w:rFonts w:ascii="Tahoma" w:hAnsi="Tahoma" w:cs="Tahoma"/>
                <w:color w:val="000000"/>
                <w:sz w:val="16"/>
                <w:szCs w:val="16"/>
              </w:rPr>
              <w:t>Dorset</w:t>
            </w:r>
          </w:p>
        </w:tc>
        <w:tc>
          <w:tcPr>
            <w:tcW w:w="1356" w:type="dxa"/>
            <w:tcBorders>
              <w:top w:val="nil"/>
              <w:left w:val="nil"/>
              <w:bottom w:val="single" w:sz="4" w:space="0" w:color="auto"/>
              <w:right w:val="single" w:sz="4" w:space="0" w:color="auto"/>
            </w:tcBorders>
            <w:shd w:val="clear" w:color="auto" w:fill="auto"/>
            <w:noWrap/>
            <w:vAlign w:val="bottom"/>
            <w:hideMark/>
          </w:tcPr>
          <w:p w:rsidR="00CF5D90" w:rsidRDefault="00CF5D90" w:rsidP="00CF5D90">
            <w:pPr>
              <w:spacing w:after="100" w:afterAutospacing="1"/>
              <w:jc w:val="right"/>
              <w:rPr>
                <w:rFonts w:ascii="Tahoma" w:hAnsi="Tahoma" w:cs="Tahoma"/>
                <w:color w:val="000000"/>
                <w:sz w:val="16"/>
                <w:szCs w:val="16"/>
              </w:rPr>
            </w:pPr>
            <w:r>
              <w:rPr>
                <w:rFonts w:ascii="Tahoma" w:hAnsi="Tahoma" w:cs="Tahoma"/>
                <w:color w:val="000000"/>
                <w:sz w:val="16"/>
                <w:szCs w:val="16"/>
              </w:rPr>
              <w:t>54.99</w:t>
            </w:r>
          </w:p>
        </w:tc>
        <w:tc>
          <w:tcPr>
            <w:tcW w:w="1377" w:type="dxa"/>
            <w:tcBorders>
              <w:top w:val="nil"/>
              <w:left w:val="nil"/>
              <w:bottom w:val="single" w:sz="4" w:space="0" w:color="auto"/>
              <w:right w:val="single" w:sz="4" w:space="0" w:color="auto"/>
            </w:tcBorders>
            <w:shd w:val="clear" w:color="auto" w:fill="auto"/>
            <w:noWrap/>
            <w:vAlign w:val="bottom"/>
            <w:hideMark/>
          </w:tcPr>
          <w:p w:rsidR="00CF5D90" w:rsidRDefault="00CF5D90" w:rsidP="00CF5D90">
            <w:pPr>
              <w:spacing w:after="100" w:afterAutospacing="1"/>
              <w:jc w:val="right"/>
              <w:rPr>
                <w:rFonts w:ascii="Tahoma" w:hAnsi="Tahoma" w:cs="Tahoma"/>
                <w:color w:val="000000"/>
                <w:sz w:val="16"/>
                <w:szCs w:val="16"/>
              </w:rPr>
            </w:pPr>
            <w:r>
              <w:rPr>
                <w:rFonts w:ascii="Tahoma" w:hAnsi="Tahoma" w:cs="Tahoma"/>
                <w:color w:val="000000"/>
                <w:sz w:val="16"/>
                <w:szCs w:val="16"/>
              </w:rPr>
              <w:t>1.8</w:t>
            </w:r>
          </w:p>
        </w:tc>
        <w:tc>
          <w:tcPr>
            <w:tcW w:w="1661" w:type="dxa"/>
            <w:tcBorders>
              <w:top w:val="nil"/>
              <w:left w:val="nil"/>
              <w:bottom w:val="single" w:sz="4" w:space="0" w:color="auto"/>
              <w:right w:val="single" w:sz="4" w:space="0" w:color="auto"/>
            </w:tcBorders>
            <w:shd w:val="clear" w:color="auto" w:fill="auto"/>
            <w:noWrap/>
            <w:vAlign w:val="bottom"/>
            <w:hideMark/>
          </w:tcPr>
          <w:p w:rsidR="00CF5D90" w:rsidRDefault="00CF5D90" w:rsidP="00CF5D90">
            <w:pPr>
              <w:spacing w:after="100" w:afterAutospacing="1"/>
              <w:jc w:val="right"/>
              <w:rPr>
                <w:rFonts w:ascii="Tahoma" w:hAnsi="Tahoma" w:cs="Tahoma"/>
                <w:color w:val="000000"/>
                <w:sz w:val="16"/>
                <w:szCs w:val="16"/>
              </w:rPr>
            </w:pPr>
            <w:r>
              <w:rPr>
                <w:rFonts w:ascii="Tahoma" w:hAnsi="Tahoma" w:cs="Tahoma"/>
                <w:color w:val="000000"/>
                <w:sz w:val="16"/>
                <w:szCs w:val="16"/>
              </w:rPr>
              <w:t>202.26</w:t>
            </w:r>
          </w:p>
        </w:tc>
        <w:tc>
          <w:tcPr>
            <w:tcW w:w="1559" w:type="dxa"/>
            <w:tcBorders>
              <w:top w:val="nil"/>
              <w:left w:val="nil"/>
              <w:bottom w:val="single" w:sz="4" w:space="0" w:color="auto"/>
              <w:right w:val="single" w:sz="4" w:space="0" w:color="auto"/>
            </w:tcBorders>
            <w:shd w:val="clear" w:color="auto" w:fill="auto"/>
            <w:noWrap/>
            <w:vAlign w:val="bottom"/>
            <w:hideMark/>
          </w:tcPr>
          <w:p w:rsidR="00CF5D90" w:rsidRDefault="00CF5D90" w:rsidP="00CF5D90">
            <w:pPr>
              <w:spacing w:after="100" w:afterAutospacing="1"/>
              <w:jc w:val="right"/>
              <w:rPr>
                <w:rFonts w:ascii="Tahoma" w:hAnsi="Tahoma" w:cs="Tahoma"/>
                <w:color w:val="000000"/>
                <w:sz w:val="16"/>
                <w:szCs w:val="16"/>
              </w:rPr>
            </w:pPr>
            <w:r>
              <w:rPr>
                <w:rFonts w:ascii="Tahoma" w:hAnsi="Tahoma" w:cs="Tahoma"/>
                <w:color w:val="000000"/>
                <w:sz w:val="16"/>
                <w:szCs w:val="16"/>
              </w:rPr>
              <w:t>19.95</w:t>
            </w:r>
          </w:p>
        </w:tc>
        <w:tc>
          <w:tcPr>
            <w:tcW w:w="1418" w:type="dxa"/>
            <w:tcBorders>
              <w:top w:val="nil"/>
              <w:left w:val="nil"/>
              <w:bottom w:val="single" w:sz="4" w:space="0" w:color="auto"/>
              <w:right w:val="single" w:sz="4" w:space="0" w:color="auto"/>
            </w:tcBorders>
            <w:shd w:val="clear" w:color="auto" w:fill="auto"/>
            <w:noWrap/>
            <w:vAlign w:val="bottom"/>
            <w:hideMark/>
          </w:tcPr>
          <w:p w:rsidR="00CF5D90" w:rsidRDefault="00CF5D90" w:rsidP="00CF5D90">
            <w:pPr>
              <w:spacing w:after="100" w:afterAutospacing="1"/>
              <w:jc w:val="right"/>
              <w:rPr>
                <w:rFonts w:ascii="Tahoma" w:hAnsi="Tahoma" w:cs="Tahoma"/>
                <w:color w:val="000000"/>
                <w:sz w:val="16"/>
                <w:szCs w:val="16"/>
              </w:rPr>
            </w:pPr>
            <w:r>
              <w:rPr>
                <w:rFonts w:ascii="Tahoma" w:hAnsi="Tahoma" w:cs="Tahoma"/>
                <w:color w:val="000000"/>
                <w:sz w:val="16"/>
                <w:szCs w:val="16"/>
              </w:rPr>
              <w:t>279</w:t>
            </w:r>
          </w:p>
        </w:tc>
      </w:tr>
    </w:tbl>
    <w:p w:rsidR="00630C41" w:rsidRDefault="00630C41">
      <w:pPr>
        <w:rPr>
          <w:rFonts w:ascii="Segoe UI" w:hAnsi="Segoe UI" w:cs="Segoe UI"/>
        </w:rPr>
      </w:pPr>
    </w:p>
    <w:tbl>
      <w:tblPr>
        <w:tblW w:w="9923" w:type="dxa"/>
        <w:tblInd w:w="108" w:type="dxa"/>
        <w:tblLook w:val="04A0"/>
      </w:tblPr>
      <w:tblGrid>
        <w:gridCol w:w="2552"/>
        <w:gridCol w:w="1276"/>
        <w:gridCol w:w="1417"/>
        <w:gridCol w:w="1559"/>
        <w:gridCol w:w="1560"/>
        <w:gridCol w:w="1559"/>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Minor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 xml:space="preserve">Rural 'B' </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'B'</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Rural 'C' and 'U'</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'C' and 'U'</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minor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5416.9</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395.2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47980.4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8406.8</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1349.5</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1752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11188</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43816.6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6486.4</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1207.9</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61474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24957.6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r>
      <w:tr w:rsidR="00CF5D90"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CF5D90" w:rsidRDefault="00CF5D90" w:rsidP="00CF5D90">
            <w:pPr>
              <w:spacing w:after="100" w:afterAutospacing="1"/>
              <w:rPr>
                <w:rFonts w:ascii="Tahoma" w:hAnsi="Tahoma" w:cs="Tahoma"/>
                <w:color w:val="000000"/>
                <w:sz w:val="16"/>
                <w:szCs w:val="16"/>
              </w:rPr>
            </w:pPr>
            <w:r>
              <w:rPr>
                <w:rFonts w:ascii="Tahoma" w:hAnsi="Tahoma" w:cs="Tahoma"/>
                <w:color w:val="000000"/>
                <w:sz w:val="16"/>
                <w:szCs w:val="16"/>
              </w:rPr>
              <w:t>Dorset</w:t>
            </w:r>
          </w:p>
        </w:tc>
        <w:tc>
          <w:tcPr>
            <w:tcW w:w="1276" w:type="dxa"/>
            <w:tcBorders>
              <w:top w:val="nil"/>
              <w:left w:val="nil"/>
              <w:bottom w:val="single" w:sz="4" w:space="0" w:color="auto"/>
              <w:right w:val="single" w:sz="4" w:space="0" w:color="auto"/>
            </w:tcBorders>
            <w:shd w:val="clear" w:color="auto" w:fill="auto"/>
            <w:noWrap/>
            <w:vAlign w:val="bottom"/>
            <w:hideMark/>
          </w:tcPr>
          <w:p w:rsidR="00CF5D90" w:rsidRDefault="00CF5D90" w:rsidP="00CF5D90">
            <w:pPr>
              <w:spacing w:after="100" w:afterAutospacing="1"/>
              <w:jc w:val="right"/>
              <w:rPr>
                <w:rFonts w:ascii="Tahoma" w:hAnsi="Tahoma" w:cs="Tahoma"/>
                <w:color w:val="000000"/>
                <w:sz w:val="16"/>
                <w:szCs w:val="16"/>
              </w:rPr>
            </w:pPr>
            <w:r>
              <w:rPr>
                <w:rFonts w:ascii="Tahoma" w:hAnsi="Tahoma" w:cs="Tahoma"/>
                <w:color w:val="000000"/>
                <w:sz w:val="16"/>
                <w:szCs w:val="16"/>
              </w:rPr>
              <w:t>209.1</w:t>
            </w:r>
          </w:p>
        </w:tc>
        <w:tc>
          <w:tcPr>
            <w:tcW w:w="1417" w:type="dxa"/>
            <w:tcBorders>
              <w:top w:val="nil"/>
              <w:left w:val="nil"/>
              <w:bottom w:val="single" w:sz="4" w:space="0" w:color="auto"/>
              <w:right w:val="single" w:sz="4" w:space="0" w:color="auto"/>
            </w:tcBorders>
            <w:shd w:val="clear" w:color="auto" w:fill="auto"/>
            <w:noWrap/>
            <w:vAlign w:val="bottom"/>
            <w:hideMark/>
          </w:tcPr>
          <w:p w:rsidR="00CF5D90" w:rsidRDefault="00CF5D90" w:rsidP="00CF5D90">
            <w:pPr>
              <w:spacing w:after="100" w:afterAutospacing="1"/>
              <w:jc w:val="right"/>
              <w:rPr>
                <w:rFonts w:ascii="Tahoma" w:hAnsi="Tahoma" w:cs="Tahoma"/>
                <w:color w:val="000000"/>
                <w:sz w:val="16"/>
                <w:szCs w:val="16"/>
              </w:rPr>
            </w:pPr>
            <w:r>
              <w:rPr>
                <w:rFonts w:ascii="Tahoma" w:hAnsi="Tahoma" w:cs="Tahoma"/>
                <w:color w:val="000000"/>
                <w:sz w:val="16"/>
                <w:szCs w:val="16"/>
              </w:rPr>
              <w:t>38</w:t>
            </w:r>
          </w:p>
        </w:tc>
        <w:tc>
          <w:tcPr>
            <w:tcW w:w="1559" w:type="dxa"/>
            <w:tcBorders>
              <w:top w:val="nil"/>
              <w:left w:val="nil"/>
              <w:bottom w:val="single" w:sz="4" w:space="0" w:color="auto"/>
              <w:right w:val="single" w:sz="4" w:space="0" w:color="auto"/>
            </w:tcBorders>
            <w:shd w:val="clear" w:color="auto" w:fill="auto"/>
            <w:noWrap/>
            <w:vAlign w:val="bottom"/>
            <w:hideMark/>
          </w:tcPr>
          <w:p w:rsidR="00CF5D90" w:rsidRDefault="00CF5D90" w:rsidP="00CF5D90">
            <w:pPr>
              <w:spacing w:after="100" w:afterAutospacing="1"/>
              <w:jc w:val="right"/>
              <w:rPr>
                <w:rFonts w:ascii="Tahoma" w:hAnsi="Tahoma" w:cs="Tahoma"/>
                <w:color w:val="000000"/>
                <w:sz w:val="16"/>
                <w:szCs w:val="16"/>
              </w:rPr>
            </w:pPr>
            <w:r>
              <w:rPr>
                <w:rFonts w:ascii="Tahoma" w:hAnsi="Tahoma" w:cs="Tahoma"/>
                <w:color w:val="000000"/>
                <w:sz w:val="16"/>
                <w:szCs w:val="16"/>
              </w:rPr>
              <w:t>1653.9</w:t>
            </w:r>
          </w:p>
        </w:tc>
        <w:tc>
          <w:tcPr>
            <w:tcW w:w="1560" w:type="dxa"/>
            <w:tcBorders>
              <w:top w:val="nil"/>
              <w:left w:val="nil"/>
              <w:bottom w:val="single" w:sz="4" w:space="0" w:color="auto"/>
              <w:right w:val="single" w:sz="4" w:space="0" w:color="auto"/>
            </w:tcBorders>
            <w:shd w:val="clear" w:color="auto" w:fill="auto"/>
            <w:noWrap/>
            <w:vAlign w:val="bottom"/>
            <w:hideMark/>
          </w:tcPr>
          <w:p w:rsidR="00CF5D90" w:rsidRDefault="00CF5D90" w:rsidP="00CF5D90">
            <w:pPr>
              <w:spacing w:after="100" w:afterAutospacing="1"/>
              <w:jc w:val="right"/>
              <w:rPr>
                <w:rFonts w:ascii="Tahoma" w:hAnsi="Tahoma" w:cs="Tahoma"/>
                <w:color w:val="000000"/>
                <w:sz w:val="16"/>
                <w:szCs w:val="16"/>
              </w:rPr>
            </w:pPr>
            <w:r>
              <w:rPr>
                <w:rFonts w:ascii="Tahoma" w:hAnsi="Tahoma" w:cs="Tahoma"/>
                <w:color w:val="000000"/>
                <w:sz w:val="16"/>
                <w:szCs w:val="16"/>
              </w:rPr>
              <w:t>508.7</w:t>
            </w:r>
          </w:p>
        </w:tc>
        <w:tc>
          <w:tcPr>
            <w:tcW w:w="1559" w:type="dxa"/>
            <w:tcBorders>
              <w:top w:val="nil"/>
              <w:left w:val="nil"/>
              <w:bottom w:val="single" w:sz="4" w:space="0" w:color="auto"/>
              <w:right w:val="single" w:sz="4" w:space="0" w:color="auto"/>
            </w:tcBorders>
            <w:shd w:val="clear" w:color="auto" w:fill="auto"/>
            <w:noWrap/>
            <w:vAlign w:val="bottom"/>
            <w:hideMark/>
          </w:tcPr>
          <w:p w:rsidR="00CF5D90" w:rsidRDefault="00CF5D90" w:rsidP="00CF5D90">
            <w:pPr>
              <w:spacing w:after="100" w:afterAutospacing="1"/>
              <w:jc w:val="right"/>
              <w:rPr>
                <w:rFonts w:ascii="Tahoma" w:hAnsi="Tahoma" w:cs="Tahoma"/>
                <w:color w:val="000000"/>
                <w:sz w:val="16"/>
                <w:szCs w:val="16"/>
              </w:rPr>
            </w:pPr>
            <w:r>
              <w:rPr>
                <w:rFonts w:ascii="Tahoma" w:hAnsi="Tahoma" w:cs="Tahoma"/>
                <w:color w:val="000000"/>
                <w:sz w:val="16"/>
                <w:szCs w:val="16"/>
              </w:rPr>
              <w:t>2409.6</w:t>
            </w:r>
          </w:p>
        </w:tc>
      </w:tr>
    </w:tbl>
    <w:p w:rsidR="00630C41" w:rsidRDefault="00630C41">
      <w:pPr>
        <w:rPr>
          <w:rFonts w:ascii="Segoe UI" w:hAnsi="Segoe UI" w:cs="Segoe UI"/>
        </w:rPr>
      </w:pPr>
    </w:p>
    <w:tbl>
      <w:tblPr>
        <w:tblW w:w="9923" w:type="dxa"/>
        <w:tblInd w:w="108" w:type="dxa"/>
        <w:tblLook w:val="04A0"/>
      </w:tblPr>
      <w:tblGrid>
        <w:gridCol w:w="2552"/>
        <w:gridCol w:w="1843"/>
        <w:gridCol w:w="1984"/>
        <w:gridCol w:w="1843"/>
        <w:gridCol w:w="1701"/>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All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Trunk roads</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Prinicipal roads</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Minor roads</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Total road length</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1602.12</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6465.6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70267.2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1183.71</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6111.12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65402.6</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2826.16</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9888.2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106840.3</w:t>
            </w:r>
          </w:p>
        </w:tc>
      </w:tr>
      <w:tr w:rsidR="00CF5D90"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CF5D90" w:rsidRDefault="00CF5D90" w:rsidP="00CF5D90">
            <w:pPr>
              <w:spacing w:after="100" w:afterAutospacing="1"/>
              <w:rPr>
                <w:rFonts w:ascii="Tahoma" w:hAnsi="Tahoma" w:cs="Tahoma"/>
                <w:color w:val="000000"/>
                <w:sz w:val="16"/>
                <w:szCs w:val="16"/>
              </w:rPr>
            </w:pPr>
            <w:r>
              <w:rPr>
                <w:rFonts w:ascii="Tahoma" w:hAnsi="Tahoma" w:cs="Tahoma"/>
                <w:color w:val="000000"/>
                <w:sz w:val="16"/>
                <w:szCs w:val="16"/>
              </w:rPr>
              <w:t>Dorset</w:t>
            </w:r>
          </w:p>
        </w:tc>
        <w:tc>
          <w:tcPr>
            <w:tcW w:w="1843" w:type="dxa"/>
            <w:tcBorders>
              <w:top w:val="nil"/>
              <w:left w:val="nil"/>
              <w:bottom w:val="single" w:sz="4" w:space="0" w:color="auto"/>
              <w:right w:val="single" w:sz="4" w:space="0" w:color="auto"/>
            </w:tcBorders>
            <w:shd w:val="clear" w:color="auto" w:fill="auto"/>
            <w:noWrap/>
            <w:vAlign w:val="bottom"/>
            <w:hideMark/>
          </w:tcPr>
          <w:p w:rsidR="00CF5D90" w:rsidRDefault="00CF5D90" w:rsidP="00CF5D90">
            <w:pPr>
              <w:spacing w:after="100" w:afterAutospacing="1"/>
              <w:jc w:val="right"/>
              <w:rPr>
                <w:rFonts w:ascii="Tahoma" w:hAnsi="Tahoma" w:cs="Tahoma"/>
                <w:color w:val="000000"/>
                <w:sz w:val="16"/>
                <w:szCs w:val="16"/>
              </w:rPr>
            </w:pPr>
            <w:r>
              <w:rPr>
                <w:rFonts w:ascii="Tahoma" w:hAnsi="Tahoma" w:cs="Tahoma"/>
                <w:color w:val="000000"/>
                <w:sz w:val="16"/>
                <w:szCs w:val="16"/>
              </w:rPr>
              <w:t>56.79</w:t>
            </w:r>
          </w:p>
        </w:tc>
        <w:tc>
          <w:tcPr>
            <w:tcW w:w="1984" w:type="dxa"/>
            <w:tcBorders>
              <w:top w:val="nil"/>
              <w:left w:val="nil"/>
              <w:bottom w:val="single" w:sz="4" w:space="0" w:color="auto"/>
              <w:right w:val="single" w:sz="4" w:space="0" w:color="auto"/>
            </w:tcBorders>
            <w:shd w:val="clear" w:color="auto" w:fill="auto"/>
            <w:noWrap/>
            <w:vAlign w:val="bottom"/>
            <w:hideMark/>
          </w:tcPr>
          <w:p w:rsidR="00CF5D90" w:rsidRDefault="00CF5D90" w:rsidP="00CF5D90">
            <w:pPr>
              <w:spacing w:after="100" w:afterAutospacing="1"/>
              <w:jc w:val="right"/>
              <w:rPr>
                <w:rFonts w:ascii="Tahoma" w:hAnsi="Tahoma" w:cs="Tahoma"/>
                <w:color w:val="000000"/>
                <w:sz w:val="16"/>
                <w:szCs w:val="16"/>
              </w:rPr>
            </w:pPr>
            <w:r>
              <w:rPr>
                <w:rFonts w:ascii="Tahoma" w:hAnsi="Tahoma" w:cs="Tahoma"/>
                <w:color w:val="000000"/>
                <w:sz w:val="16"/>
                <w:szCs w:val="16"/>
              </w:rPr>
              <w:t>222.2</w:t>
            </w:r>
          </w:p>
        </w:tc>
        <w:tc>
          <w:tcPr>
            <w:tcW w:w="1843" w:type="dxa"/>
            <w:tcBorders>
              <w:top w:val="nil"/>
              <w:left w:val="nil"/>
              <w:bottom w:val="single" w:sz="4" w:space="0" w:color="auto"/>
              <w:right w:val="single" w:sz="4" w:space="0" w:color="auto"/>
            </w:tcBorders>
            <w:shd w:val="clear" w:color="auto" w:fill="auto"/>
            <w:noWrap/>
            <w:vAlign w:val="bottom"/>
            <w:hideMark/>
          </w:tcPr>
          <w:p w:rsidR="00CF5D90" w:rsidRDefault="00CF5D90" w:rsidP="00CF5D90">
            <w:pPr>
              <w:spacing w:after="100" w:afterAutospacing="1"/>
              <w:jc w:val="right"/>
              <w:rPr>
                <w:rFonts w:ascii="Tahoma" w:hAnsi="Tahoma" w:cs="Tahoma"/>
                <w:color w:val="000000"/>
                <w:sz w:val="16"/>
                <w:szCs w:val="16"/>
              </w:rPr>
            </w:pPr>
            <w:r>
              <w:rPr>
                <w:rFonts w:ascii="Tahoma" w:hAnsi="Tahoma" w:cs="Tahoma"/>
                <w:color w:val="000000"/>
                <w:sz w:val="16"/>
                <w:szCs w:val="16"/>
              </w:rPr>
              <w:t>2409.6</w:t>
            </w:r>
          </w:p>
        </w:tc>
        <w:tc>
          <w:tcPr>
            <w:tcW w:w="1701" w:type="dxa"/>
            <w:tcBorders>
              <w:top w:val="nil"/>
              <w:left w:val="nil"/>
              <w:bottom w:val="single" w:sz="4" w:space="0" w:color="auto"/>
              <w:right w:val="single" w:sz="4" w:space="0" w:color="auto"/>
            </w:tcBorders>
            <w:shd w:val="clear" w:color="auto" w:fill="auto"/>
            <w:noWrap/>
            <w:vAlign w:val="bottom"/>
            <w:hideMark/>
          </w:tcPr>
          <w:p w:rsidR="00CF5D90" w:rsidRDefault="00CF5D90" w:rsidP="00CF5D90">
            <w:pPr>
              <w:spacing w:after="100" w:afterAutospacing="1"/>
              <w:jc w:val="right"/>
              <w:rPr>
                <w:rFonts w:ascii="Tahoma" w:hAnsi="Tahoma" w:cs="Tahoma"/>
                <w:color w:val="000000"/>
                <w:sz w:val="16"/>
                <w:szCs w:val="16"/>
              </w:rPr>
            </w:pPr>
            <w:r>
              <w:rPr>
                <w:rFonts w:ascii="Tahoma" w:hAnsi="Tahoma" w:cs="Tahoma"/>
                <w:color w:val="000000"/>
                <w:sz w:val="16"/>
                <w:szCs w:val="16"/>
              </w:rPr>
              <w:t>2688.6</w:t>
            </w:r>
          </w:p>
        </w:tc>
      </w:tr>
    </w:tbl>
    <w:p w:rsidR="00630C41" w:rsidRDefault="00630C41">
      <w:pPr>
        <w:rPr>
          <w:rFonts w:ascii="Segoe UI" w:hAnsi="Segoe UI" w:cs="Segoe UI"/>
        </w:rPr>
      </w:pPr>
    </w:p>
    <w:p w:rsidR="009500DD" w:rsidRDefault="009500DD">
      <w:pPr>
        <w:rPr>
          <w:rFonts w:ascii="Segoe UI" w:hAnsi="Segoe UI" w:cs="Segoe UI"/>
        </w:rPr>
      </w:pPr>
    </w:p>
    <w:p w:rsidR="009500DD" w:rsidRDefault="009500DD">
      <w:pPr>
        <w:rPr>
          <w:rFonts w:ascii="Segoe UI" w:hAnsi="Segoe UI" w:cs="Segoe UI"/>
        </w:rPr>
      </w:pPr>
      <w:r>
        <w:rPr>
          <w:rFonts w:ascii="Segoe UI" w:hAnsi="Segoe UI" w:cs="Segoe UI"/>
        </w:rPr>
        <w:t>Taking the total road lengths and proportion where maintenance should be considered:</w:t>
      </w:r>
    </w:p>
    <w:p w:rsidR="009500DD" w:rsidRDefault="009500DD">
      <w:pPr>
        <w:rPr>
          <w:rFonts w:ascii="Segoe UI" w:hAnsi="Segoe UI" w:cs="Segoe UI"/>
        </w:rPr>
      </w:pPr>
    </w:p>
    <w:tbl>
      <w:tblPr>
        <w:tblW w:w="6940" w:type="dxa"/>
        <w:tblInd w:w="103" w:type="dxa"/>
        <w:tblLook w:val="04A0"/>
      </w:tblPr>
      <w:tblGrid>
        <w:gridCol w:w="4760"/>
        <w:gridCol w:w="2180"/>
      </w:tblGrid>
      <w:tr w:rsidR="00CF5D90" w:rsidRPr="009500DD" w:rsidTr="00CF5D90">
        <w:trPr>
          <w:trHeight w:val="956"/>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D90" w:rsidRDefault="00CF5D90" w:rsidP="00CF5D90">
            <w:pPr>
              <w:spacing w:after="100" w:afterAutospacing="1"/>
              <w:rPr>
                <w:rFonts w:ascii="Calibri" w:hAnsi="Calibri" w:cs="Calibri"/>
                <w:color w:val="000000"/>
              </w:rPr>
            </w:pPr>
            <w:r>
              <w:rPr>
                <w:rFonts w:ascii="Calibri" w:hAnsi="Calibri" w:cs="Calibri"/>
                <w:color w:val="000000"/>
              </w:rPr>
              <w:t>Road length of principal roads in Dorset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CF5D90" w:rsidRDefault="00CF5D90" w:rsidP="00CF5D90">
            <w:pPr>
              <w:spacing w:after="100" w:afterAutospacing="1"/>
              <w:rPr>
                <w:rFonts w:ascii="Calibri" w:hAnsi="Calibri" w:cs="Calibri"/>
                <w:color w:val="000000"/>
              </w:rPr>
            </w:pPr>
            <w:r>
              <w:rPr>
                <w:rFonts w:ascii="Calibri" w:hAnsi="Calibri" w:cs="Calibri"/>
                <w:color w:val="000000"/>
              </w:rPr>
              <w:t>6.7miles</w:t>
            </w:r>
          </w:p>
        </w:tc>
      </w:tr>
    </w:tbl>
    <w:p w:rsidR="009500DD" w:rsidRDefault="009500DD">
      <w:pPr>
        <w:rPr>
          <w:rFonts w:ascii="Segoe UI" w:hAnsi="Segoe UI" w:cs="Segoe UI"/>
        </w:rPr>
      </w:pPr>
    </w:p>
    <w:tbl>
      <w:tblPr>
        <w:tblW w:w="6940" w:type="dxa"/>
        <w:tblInd w:w="103" w:type="dxa"/>
        <w:tblLook w:val="04A0"/>
      </w:tblPr>
      <w:tblGrid>
        <w:gridCol w:w="4760"/>
        <w:gridCol w:w="2180"/>
      </w:tblGrid>
      <w:tr w:rsidR="00CF5D90" w:rsidRPr="009500DD" w:rsidTr="00CF5D90">
        <w:trPr>
          <w:trHeight w:val="90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D90" w:rsidRDefault="00CF5D90" w:rsidP="00CF5D90">
            <w:pPr>
              <w:spacing w:after="100" w:afterAutospacing="1"/>
              <w:rPr>
                <w:rFonts w:ascii="Calibri" w:hAnsi="Calibri" w:cs="Calibri"/>
                <w:color w:val="000000"/>
              </w:rPr>
            </w:pPr>
            <w:r>
              <w:rPr>
                <w:rFonts w:ascii="Calibri" w:hAnsi="Calibri" w:cs="Calibri"/>
                <w:color w:val="000000"/>
              </w:rPr>
              <w:t>Road length of non-principal roads in Dorset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CF5D90" w:rsidRDefault="00CF5D90" w:rsidP="00CF5D90">
            <w:pPr>
              <w:spacing w:after="100" w:afterAutospacing="1"/>
              <w:rPr>
                <w:rFonts w:ascii="Calibri" w:hAnsi="Calibri" w:cs="Calibri"/>
                <w:color w:val="000000"/>
              </w:rPr>
            </w:pPr>
            <w:r>
              <w:rPr>
                <w:rFonts w:ascii="Calibri" w:hAnsi="Calibri" w:cs="Calibri"/>
                <w:color w:val="000000"/>
              </w:rPr>
              <w:t>96miles</w:t>
            </w:r>
          </w:p>
        </w:tc>
      </w:tr>
    </w:tbl>
    <w:p w:rsidR="009500DD" w:rsidRDefault="009500DD">
      <w:pPr>
        <w:rPr>
          <w:rFonts w:ascii="Segoe UI" w:hAnsi="Segoe UI" w:cs="Segoe UI"/>
        </w:rPr>
      </w:pPr>
    </w:p>
    <w:p w:rsidR="009500DD" w:rsidRDefault="009500DD">
      <w:pPr>
        <w:rPr>
          <w:rFonts w:ascii="Segoe UI" w:hAnsi="Segoe UI" w:cs="Segoe UI"/>
        </w:rPr>
      </w:pPr>
      <w:r w:rsidRPr="009500DD">
        <w:rPr>
          <w:rFonts w:ascii="Segoe UI" w:hAnsi="Segoe UI" w:cs="Segoe UI"/>
        </w:rPr>
        <w:lastRenderedPageBreak/>
        <w:t>Percentage of unclassified roads where maintenance should be considered</w:t>
      </w:r>
    </w:p>
    <w:p w:rsidR="008B21E0" w:rsidRPr="00357E6D" w:rsidRDefault="008B21E0" w:rsidP="008B21E0">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w:t>
      </w:r>
      <w:r>
        <w:rPr>
          <w:rFonts w:ascii="Segoe UI" w:hAnsi="Segoe UI" w:cs="Segoe UI"/>
          <w:i/>
          <w:sz w:val="16"/>
        </w:rPr>
        <w:t>Different survey types between authorities were used in collecting the maintenance data for unclassified roads.  Averages have been calculated on the data as mad</w:t>
      </w:r>
      <w:r w:rsidR="00A75DA5">
        <w:rPr>
          <w:rFonts w:ascii="Segoe UI" w:hAnsi="Segoe UI" w:cs="Segoe UI"/>
          <w:i/>
          <w:sz w:val="16"/>
        </w:rPr>
        <w:t>e available</w:t>
      </w:r>
      <w:r>
        <w:rPr>
          <w:rFonts w:ascii="Segoe UI" w:hAnsi="Segoe UI" w:cs="Segoe UI"/>
          <w:i/>
          <w:sz w:val="16"/>
        </w:rPr>
        <w:t>.</w:t>
      </w:r>
    </w:p>
    <w:p w:rsidR="009500DD" w:rsidRDefault="009500DD">
      <w:pPr>
        <w:rPr>
          <w:rFonts w:ascii="Segoe UI" w:hAnsi="Segoe UI" w:cs="Segoe UI"/>
        </w:rPr>
      </w:pPr>
    </w:p>
    <w:p w:rsidR="009500DD" w:rsidRPr="00630C41" w:rsidRDefault="009500DD">
      <w:pPr>
        <w:rPr>
          <w:rFonts w:ascii="Segoe UI" w:hAnsi="Segoe UI" w:cs="Segoe UI"/>
        </w:rPr>
      </w:pPr>
      <w:r w:rsidRPr="009500DD">
        <w:rPr>
          <w:rFonts w:ascii="Segoe UI" w:hAnsi="Segoe UI" w:cs="Segoe UI"/>
          <w:noProof/>
          <w:lang w:eastAsia="en-GB"/>
        </w:rPr>
        <w:drawing>
          <wp:inline distT="0" distB="0" distL="0" distR="0">
            <wp:extent cx="5943600" cy="2276475"/>
            <wp:effectExtent l="19050" t="0" r="19050" b="0"/>
            <wp:docPr id="100"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D711F4" w:rsidRDefault="00D711F4">
      <w:pPr>
        <w:rPr>
          <w:rFonts w:ascii="Segoe UI" w:hAnsi="Segoe UI" w:cs="Segoe UI"/>
          <w:b/>
        </w:rPr>
      </w:pPr>
    </w:p>
    <w:p w:rsidR="003815DA" w:rsidRDefault="003815DA">
      <w:pPr>
        <w:rPr>
          <w:rFonts w:ascii="Segoe UI" w:hAnsi="Segoe UI" w:cs="Segoe UI"/>
          <w:b/>
        </w:rPr>
      </w:pPr>
    </w:p>
    <w:p w:rsidR="00377466" w:rsidRPr="009902B8" w:rsidRDefault="00377466">
      <w:pPr>
        <w:rPr>
          <w:rFonts w:ascii="Segoe UI" w:hAnsi="Segoe UI" w:cs="Segoe UI"/>
          <w:i/>
        </w:rPr>
      </w:pPr>
    </w:p>
    <w:p w:rsidR="00C13421" w:rsidRDefault="00C13421">
      <w:pPr>
        <w:rPr>
          <w:rFonts w:ascii="Segoe UI" w:hAnsi="Segoe UI" w:cs="Segoe UI"/>
          <w:b/>
          <w:u w:val="single"/>
        </w:rPr>
      </w:pPr>
      <w:bookmarkStart w:id="3" w:name="Speed"/>
      <w:bookmarkEnd w:id="3"/>
      <w:r>
        <w:rPr>
          <w:rFonts w:ascii="Segoe UI" w:hAnsi="Segoe UI" w:cs="Segoe UI"/>
          <w:b/>
          <w:u w:val="single"/>
        </w:rPr>
        <w:br w:type="page"/>
      </w:r>
    </w:p>
    <w:p w:rsidR="00500FD5" w:rsidRPr="00153631" w:rsidRDefault="00214346">
      <w:pPr>
        <w:rPr>
          <w:rFonts w:ascii="Segoe UI" w:hAnsi="Segoe UI" w:cs="Segoe UI"/>
          <w:b/>
          <w:u w:val="single"/>
        </w:rPr>
      </w:pPr>
      <w:r>
        <w:rPr>
          <w:rFonts w:ascii="Segoe UI" w:hAnsi="Segoe UI" w:cs="Segoe UI"/>
          <w:b/>
          <w:u w:val="single"/>
        </w:rPr>
        <w:lastRenderedPageBreak/>
        <w:t>Road speed and delay</w:t>
      </w:r>
    </w:p>
    <w:p w:rsidR="00153631" w:rsidRDefault="00153631">
      <w:pPr>
        <w:rPr>
          <w:rFonts w:ascii="Segoe UI" w:hAnsi="Segoe UI" w:cs="Segoe UI"/>
        </w:rPr>
      </w:pPr>
    </w:p>
    <w:p w:rsidR="00EF6F56" w:rsidRDefault="00EF6F56">
      <w:pPr>
        <w:rPr>
          <w:rFonts w:ascii="Segoe UI" w:hAnsi="Segoe UI" w:cs="Segoe UI"/>
        </w:rPr>
      </w:pPr>
      <w:r w:rsidRPr="00EF6F56">
        <w:rPr>
          <w:rFonts w:ascii="Segoe UI" w:hAnsi="Segoe UI" w:cs="Segoe UI"/>
        </w:rPr>
        <w:t>Average speed on local 'A' roads</w:t>
      </w:r>
    </w:p>
    <w:p w:rsidR="00EF6F56" w:rsidRDefault="000E6E0C">
      <w:pPr>
        <w:rPr>
          <w:rFonts w:ascii="Segoe UI" w:hAnsi="Segoe UI" w:cs="Segoe UI"/>
          <w:sz w:val="18"/>
        </w:rPr>
      </w:pPr>
      <w:r w:rsidRPr="000E6E0C">
        <w:rPr>
          <w:rFonts w:ascii="Segoe UI" w:hAnsi="Segoe UI" w:cs="Segoe UI"/>
          <w:sz w:val="18"/>
        </w:rPr>
        <w:t xml:space="preserve">The </w:t>
      </w:r>
      <w:r>
        <w:rPr>
          <w:rFonts w:ascii="Segoe UI" w:hAnsi="Segoe UI" w:cs="Segoe UI"/>
          <w:sz w:val="18"/>
        </w:rPr>
        <w:t xml:space="preserve">average speed </w:t>
      </w:r>
      <w:r w:rsidRPr="000E6E0C">
        <w:rPr>
          <w:rFonts w:ascii="Segoe UI" w:hAnsi="Segoe UI" w:cs="Segoe UI"/>
          <w:sz w:val="18"/>
        </w:rPr>
        <w:t>measure weights speed observations from a sample of vehicles by associated traffic flows so that it is representative of traffic volumes on the roads in different locations and at different times of day.</w:t>
      </w:r>
      <w:r w:rsidR="000A31A2">
        <w:rPr>
          <w:rFonts w:ascii="Segoe UI" w:hAnsi="Segoe UI" w:cs="Segoe UI"/>
          <w:sz w:val="18"/>
        </w:rPr>
        <w:t xml:space="preserve">  </w:t>
      </w:r>
      <w:r w:rsidR="000A31A2" w:rsidRPr="000A31A2">
        <w:rPr>
          <w:rFonts w:ascii="Segoe UI" w:hAnsi="Segoe UI" w:cs="Segoe UI"/>
          <w:sz w:val="18"/>
        </w:rPr>
        <w:t>Travel time observations used to calculate this measure are derived from cars and light vans travel time data only.</w:t>
      </w:r>
      <w:r w:rsidR="000A31A2">
        <w:rPr>
          <w:rFonts w:ascii="Segoe UI" w:hAnsi="Segoe UI" w:cs="Segoe UI"/>
          <w:sz w:val="18"/>
        </w:rPr>
        <w:t xml:space="preserve">  </w:t>
      </w:r>
      <w:r w:rsidR="000A31A2" w:rsidRPr="000A31A2">
        <w:rPr>
          <w:rFonts w:ascii="Segoe UI" w:hAnsi="Segoe UI" w:cs="Segoe UI"/>
          <w:sz w:val="18"/>
        </w:rPr>
        <w:t>All day average speed calculated across the complete 24 hourly period and includes all days (weekdays, weekends, bank holidays etc.)</w:t>
      </w:r>
    </w:p>
    <w:p w:rsidR="000A31A2" w:rsidRPr="000E6E0C"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1"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0A31A2" w:rsidRDefault="000A31A2">
      <w:pPr>
        <w:rPr>
          <w:rFonts w:ascii="Segoe UI" w:hAnsi="Segoe UI" w:cs="Segoe UI"/>
        </w:rPr>
      </w:pPr>
      <w:r>
        <w:rPr>
          <w:rFonts w:ascii="Segoe UI" w:hAnsi="Segoe UI" w:cs="Segoe UI"/>
        </w:rPr>
        <w:br w:type="page"/>
      </w:r>
    </w:p>
    <w:p w:rsidR="00EF6F56" w:rsidRDefault="00EF6F56">
      <w:pPr>
        <w:rPr>
          <w:rFonts w:ascii="Segoe UI" w:hAnsi="Segoe UI" w:cs="Segoe UI"/>
        </w:rPr>
      </w:pPr>
      <w:r w:rsidRPr="00EF6F56">
        <w:rPr>
          <w:rFonts w:ascii="Segoe UI" w:hAnsi="Segoe UI" w:cs="Segoe UI"/>
        </w:rPr>
        <w:lastRenderedPageBreak/>
        <w:t>Average delay on locally managed 'A' roads</w:t>
      </w:r>
    </w:p>
    <w:p w:rsidR="00EF6F56" w:rsidRDefault="000A31A2">
      <w:pPr>
        <w:rPr>
          <w:rFonts w:ascii="Segoe UI" w:hAnsi="Segoe UI" w:cs="Segoe UI"/>
          <w:sz w:val="18"/>
        </w:rPr>
      </w:pPr>
      <w:r w:rsidRPr="000A31A2">
        <w:rPr>
          <w:rFonts w:ascii="Segoe UI" w:hAnsi="Segoe UI" w:cs="Segoe UI"/>
          <w:sz w:val="18"/>
        </w:rPr>
        <w:t>Delay is calculated by subtracting derived ‘free flow’ travel times from observed travel times for individual road sections.  Free flow travel times are calculated using the 85th  percentile speed observation for each individual road sections. These are 'capped' at national speed limits.</w:t>
      </w:r>
      <w:r>
        <w:rPr>
          <w:rFonts w:ascii="Segoe UI" w:hAnsi="Segoe UI" w:cs="Segoe UI"/>
          <w:sz w:val="18"/>
        </w:rPr>
        <w:t xml:space="preserve">  </w:t>
      </w:r>
      <w:r w:rsidRPr="000A31A2">
        <w:rPr>
          <w:rFonts w:ascii="Segoe UI" w:hAnsi="Segoe UI" w:cs="Segoe UI"/>
          <w:sz w:val="18"/>
        </w:rPr>
        <w:t>Average delay is calculated by aggregating delay estimates from individual road sections and weighting observations by associated traffic flows so that it is representative of traffic volumes.</w:t>
      </w:r>
      <w:r>
        <w:rPr>
          <w:rFonts w:ascii="Segoe UI" w:hAnsi="Segoe UI" w:cs="Segoe UI"/>
          <w:sz w:val="18"/>
        </w:rPr>
        <w:t xml:space="preserve">  </w:t>
      </w:r>
      <w:r w:rsidRPr="000A31A2">
        <w:rPr>
          <w:rFonts w:ascii="Segoe UI" w:hAnsi="Segoe UI" w:cs="Segoe UI"/>
          <w:sz w:val="18"/>
        </w:rPr>
        <w:t>Travel time observations used to calculate this measure are derived from cars and light vans data only.</w:t>
      </w:r>
      <w:r>
        <w:rPr>
          <w:rFonts w:ascii="Segoe UI" w:hAnsi="Segoe UI" w:cs="Segoe UI"/>
          <w:sz w:val="18"/>
        </w:rPr>
        <w:t xml:space="preserve">  </w:t>
      </w:r>
      <w:r w:rsidRPr="000A31A2">
        <w:rPr>
          <w:rFonts w:ascii="Segoe UI" w:hAnsi="Segoe UI" w:cs="Segoe UI"/>
          <w:sz w:val="18"/>
        </w:rPr>
        <w:t>All day average delay calculated across the complete 24 hourly period and includes all days (weekdays, weekends, bank holidays etc.)</w:t>
      </w:r>
    </w:p>
    <w:p w:rsidR="000A31A2" w:rsidRPr="000A31A2"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2"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52568F" w:rsidRDefault="0052568F">
      <w:pPr>
        <w:rPr>
          <w:rFonts w:ascii="Segoe UI" w:hAnsi="Segoe UI" w:cs="Segoe UI"/>
        </w:rPr>
      </w:pPr>
    </w:p>
    <w:p w:rsidR="000A31A2" w:rsidRDefault="000A31A2">
      <w:pPr>
        <w:rPr>
          <w:rFonts w:ascii="Segoe UI" w:hAnsi="Segoe UI" w:cs="Segoe UI"/>
        </w:rPr>
      </w:pPr>
      <w:r>
        <w:rPr>
          <w:rFonts w:ascii="Segoe UI" w:hAnsi="Segoe UI" w:cs="Segoe UI"/>
        </w:rPr>
        <w:br w:type="page"/>
      </w:r>
    </w:p>
    <w:p w:rsidR="00886701" w:rsidRDefault="00214346">
      <w:pPr>
        <w:rPr>
          <w:rFonts w:ascii="Segoe UI" w:hAnsi="Segoe UI" w:cs="Segoe UI"/>
          <w:b/>
          <w:u w:val="single"/>
        </w:rPr>
      </w:pPr>
      <w:bookmarkStart w:id="4" w:name="Walking"/>
      <w:bookmarkEnd w:id="4"/>
      <w:r>
        <w:rPr>
          <w:rFonts w:ascii="Segoe UI" w:hAnsi="Segoe UI" w:cs="Segoe UI"/>
          <w:b/>
          <w:u w:val="single"/>
        </w:rPr>
        <w:lastRenderedPageBreak/>
        <w:t>Walking and cycling</w:t>
      </w:r>
    </w:p>
    <w:p w:rsidR="00CB452F" w:rsidRDefault="00CB452F">
      <w:pPr>
        <w:rPr>
          <w:rFonts w:ascii="Segoe UI" w:hAnsi="Segoe UI" w:cs="Segoe UI"/>
        </w:rPr>
      </w:pPr>
    </w:p>
    <w:p w:rsidR="00162CA7" w:rsidRDefault="00513C6F">
      <w:pPr>
        <w:rPr>
          <w:rFonts w:ascii="Segoe UI" w:hAnsi="Segoe UI" w:cs="Segoe UI"/>
        </w:rPr>
      </w:pPr>
      <w:r>
        <w:rPr>
          <w:rFonts w:ascii="Segoe UI" w:hAnsi="Segoe UI" w:cs="Segoe UI"/>
        </w:rPr>
        <w:t xml:space="preserve">The following charts relate to statistics covering </w:t>
      </w:r>
      <w:r w:rsidRPr="00513C6F">
        <w:rPr>
          <w:rFonts w:ascii="Segoe UI" w:hAnsi="Segoe UI" w:cs="Segoe UI"/>
        </w:rPr>
        <w:t>the time period mid-November 2015 to mid-November 2016.</w:t>
      </w:r>
    </w:p>
    <w:p w:rsidR="00162CA7" w:rsidRDefault="00162CA7">
      <w:pPr>
        <w:rPr>
          <w:rFonts w:ascii="Segoe UI" w:hAnsi="Segoe UI" w:cs="Segoe UI"/>
        </w:rPr>
      </w:pPr>
    </w:p>
    <w:p w:rsidR="00602484" w:rsidRDefault="00602484">
      <w:pPr>
        <w:rPr>
          <w:rFonts w:ascii="Segoe UI" w:hAnsi="Segoe UI" w:cs="Segoe UI"/>
        </w:rPr>
      </w:pPr>
    </w:p>
    <w:p w:rsidR="00CB452F"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602484" w:rsidRDefault="00602484">
      <w:pPr>
        <w:rPr>
          <w:rFonts w:ascii="Segoe UI" w:hAnsi="Segoe UI" w:cs="Segoe UI"/>
        </w:rPr>
      </w:pPr>
    </w:p>
    <w:p w:rsidR="00417448" w:rsidRDefault="00162CA7">
      <w:pPr>
        <w:rPr>
          <w:rFonts w:ascii="Segoe UI" w:hAnsi="Segoe UI" w:cs="Segoe UI"/>
        </w:rPr>
      </w:pPr>
      <w:r>
        <w:rPr>
          <w:rFonts w:ascii="Segoe UI" w:hAnsi="Segoe UI" w:cs="Segoe UI"/>
        </w:rPr>
        <w:t xml:space="preserve">Walking in the above analysis refers to any </w:t>
      </w:r>
      <w:r w:rsidRPr="00162CA7">
        <w:rPr>
          <w:rFonts w:ascii="Segoe UI" w:hAnsi="Segoe UI" w:cs="Segoe UI"/>
        </w:rPr>
        <w:t>continuous walk of over 10 minutes, irrespective of purpose</w:t>
      </w:r>
      <w:r>
        <w:rPr>
          <w:rFonts w:ascii="Segoe UI" w:hAnsi="Segoe UI" w:cs="Segoe UI"/>
        </w:rPr>
        <w:t xml:space="preserve">.  Cycling in this analysis </w:t>
      </w:r>
      <w:r w:rsidRPr="00162CA7">
        <w:rPr>
          <w:rFonts w:ascii="Segoe UI" w:hAnsi="Segoe UI" w:cs="Segoe UI"/>
        </w:rPr>
        <w:t>refers to any cycling, irrespective of length or purpose.</w:t>
      </w:r>
    </w:p>
    <w:p w:rsidR="00162CA7" w:rsidRDefault="00162CA7">
      <w:pPr>
        <w:rPr>
          <w:rFonts w:ascii="Segoe UI" w:hAnsi="Segoe UI" w:cs="Segoe UI"/>
        </w:rPr>
      </w:pPr>
    </w:p>
    <w:p w:rsidR="00602484" w:rsidRDefault="00602484">
      <w:pPr>
        <w:rPr>
          <w:rFonts w:ascii="Segoe UI" w:hAnsi="Segoe UI" w:cs="Segoe UI"/>
        </w:rPr>
      </w:pPr>
      <w:r>
        <w:rPr>
          <w:rFonts w:ascii="Segoe UI" w:hAnsi="Segoe UI" w:cs="Segoe UI"/>
        </w:rPr>
        <w:br w:type="page"/>
      </w:r>
    </w:p>
    <w:p w:rsidR="00162CA7" w:rsidRDefault="00E57E59">
      <w:pPr>
        <w:rPr>
          <w:rFonts w:ascii="Segoe UI" w:hAnsi="Segoe UI" w:cs="Segoe UI"/>
        </w:rPr>
      </w:pPr>
      <w:r>
        <w:rPr>
          <w:rFonts w:ascii="Segoe UI" w:hAnsi="Segoe UI" w:cs="Segoe UI"/>
        </w:rPr>
        <w:lastRenderedPageBreak/>
        <w:t>Cycling</w:t>
      </w:r>
      <w:r w:rsidRPr="00E57E59">
        <w:rPr>
          <w:rFonts w:ascii="Segoe UI" w:hAnsi="Segoe UI" w:cs="Segoe UI"/>
        </w:rPr>
        <w:t xml:space="preserve"> in th</w:t>
      </w:r>
      <w:r>
        <w:rPr>
          <w:rFonts w:ascii="Segoe UI" w:hAnsi="Segoe UI" w:cs="Segoe UI"/>
        </w:rPr>
        <w:t>e following charts</w:t>
      </w:r>
      <w:r w:rsidRPr="00E57E59">
        <w:rPr>
          <w:rFonts w:ascii="Segoe UI" w:hAnsi="Segoe UI" w:cs="Segoe UI"/>
        </w:rPr>
        <w:t xml:space="preserve"> refers to any cycling, irrespective of length or purpose</w:t>
      </w:r>
      <w:r>
        <w:rPr>
          <w:rFonts w:ascii="Segoe UI" w:hAnsi="Segoe UI" w:cs="Segoe UI"/>
        </w:rPr>
        <w:t xml:space="preserve"> and leisure </w:t>
      </w:r>
      <w:r w:rsidRPr="00E57E59">
        <w:rPr>
          <w:rFonts w:ascii="Segoe UI" w:hAnsi="Segoe UI" w:cs="Segoe UI"/>
        </w:rPr>
        <w:t>refers to cycling for the purpose of health, recreation, training or competition, not to get from place to place.</w:t>
      </w:r>
    </w:p>
    <w:p w:rsidR="00E57E59" w:rsidRDefault="00E57E59">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417448" w:rsidRDefault="00417448">
      <w:pPr>
        <w:rPr>
          <w:rFonts w:ascii="Segoe UI" w:hAnsi="Segoe UI" w:cs="Segoe UI"/>
        </w:rPr>
      </w:pPr>
    </w:p>
    <w:p w:rsidR="00E57E59" w:rsidRDefault="00E57E59">
      <w:pPr>
        <w:rPr>
          <w:rFonts w:ascii="Segoe UI" w:hAnsi="Segoe UI" w:cs="Segoe UI"/>
        </w:rPr>
      </w:pPr>
      <w:r>
        <w:rPr>
          <w:rFonts w:ascii="Segoe UI" w:hAnsi="Segoe UI" w:cs="Segoe UI"/>
        </w:rPr>
        <w:br w:type="page"/>
      </w:r>
    </w:p>
    <w:p w:rsidR="00E57E59" w:rsidRDefault="00E57E59">
      <w:pPr>
        <w:rPr>
          <w:rFonts w:ascii="Segoe UI" w:hAnsi="Segoe UI" w:cs="Segoe UI"/>
        </w:rPr>
      </w:pPr>
      <w:r>
        <w:rPr>
          <w:rFonts w:ascii="Segoe UI" w:hAnsi="Segoe UI" w:cs="Segoe UI"/>
        </w:rPr>
        <w:lastRenderedPageBreak/>
        <w:t>Walking in the following</w:t>
      </w:r>
      <w:r w:rsidRPr="00E57E59">
        <w:rPr>
          <w:rFonts w:ascii="Segoe UI" w:hAnsi="Segoe UI" w:cs="Segoe UI"/>
        </w:rPr>
        <w:t xml:space="preserve"> </w:t>
      </w:r>
      <w:r>
        <w:rPr>
          <w:rFonts w:ascii="Segoe UI" w:hAnsi="Segoe UI" w:cs="Segoe UI"/>
        </w:rPr>
        <w:t>charts</w:t>
      </w:r>
      <w:r w:rsidRPr="00E57E59">
        <w:rPr>
          <w:rFonts w:ascii="Segoe UI" w:hAnsi="Segoe UI" w:cs="Segoe UI"/>
        </w:rPr>
        <w:t xml:space="preserve"> refers to any continuous wal</w:t>
      </w:r>
      <w:r>
        <w:rPr>
          <w:rFonts w:ascii="Segoe UI" w:hAnsi="Segoe UI" w:cs="Segoe UI"/>
        </w:rPr>
        <w:t>k of over 10 minutes, and l</w:t>
      </w:r>
      <w:r w:rsidRPr="00E57E59">
        <w:rPr>
          <w:rFonts w:ascii="Segoe UI" w:hAnsi="Segoe UI" w:cs="Segoe UI"/>
        </w:rPr>
        <w:t>eisure refers to walking for the purpose of health, recreation, training or competition, not to get from place to place.</w:t>
      </w:r>
    </w:p>
    <w:p w:rsidR="00602484" w:rsidRDefault="00602484">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9579D3" w:rsidRDefault="009579D3">
      <w:pPr>
        <w:rPr>
          <w:rFonts w:ascii="Segoe UI" w:hAnsi="Segoe UI" w:cs="Segoe UI"/>
        </w:rPr>
      </w:pPr>
    </w:p>
    <w:p w:rsidR="00E7007C" w:rsidRDefault="00E7007C">
      <w:pPr>
        <w:rPr>
          <w:rFonts w:ascii="Segoe UI" w:hAnsi="Segoe UI" w:cs="Segoe UI"/>
        </w:rPr>
      </w:pPr>
    </w:p>
    <w:p w:rsidR="00CB452F" w:rsidRDefault="00CB452F">
      <w:pPr>
        <w:rPr>
          <w:rFonts w:ascii="Segoe UI" w:hAnsi="Segoe UI" w:cs="Segoe UI"/>
        </w:rPr>
      </w:pPr>
    </w:p>
    <w:p w:rsidR="00A57F92" w:rsidRDefault="00A57F92">
      <w:pPr>
        <w:rPr>
          <w:rFonts w:ascii="Segoe UI" w:hAnsi="Segoe UI" w:cs="Segoe UI"/>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Pr="00C07765" w:rsidRDefault="000158B1">
      <w:pPr>
        <w:rPr>
          <w:rFonts w:ascii="Segoe UI" w:hAnsi="Segoe UI" w:cs="Segoe UI"/>
        </w:rPr>
      </w:pPr>
      <w:r w:rsidRPr="00C07765">
        <w:rPr>
          <w:rFonts w:ascii="Segoe UI" w:hAnsi="Segoe UI" w:cs="Segoe UI"/>
        </w:rPr>
        <w:t>Department for Transport s</w:t>
      </w:r>
      <w:r w:rsidR="00E07698" w:rsidRPr="00C07765">
        <w:rPr>
          <w:rFonts w:ascii="Segoe UI" w:hAnsi="Segoe UI" w:cs="Segoe UI"/>
        </w:rPr>
        <w:t xml:space="preserve">tatistics - </w:t>
      </w:r>
      <w:r w:rsidRPr="00C07765">
        <w:rPr>
          <w:rFonts w:ascii="Segoe UI" w:hAnsi="Segoe UI" w:cs="Segoe UI"/>
        </w:rPr>
        <w:t xml:space="preserve">Journey Time Statistics, </w:t>
      </w:r>
      <w:r w:rsidR="009E5806" w:rsidRPr="00C07765">
        <w:rPr>
          <w:rFonts w:ascii="Segoe UI" w:hAnsi="Segoe UI" w:cs="Segoe UI"/>
        </w:rPr>
        <w:t>Table</w:t>
      </w:r>
      <w:r w:rsidRPr="00C07765">
        <w:rPr>
          <w:rFonts w:ascii="Segoe UI" w:hAnsi="Segoe UI" w:cs="Segoe UI"/>
        </w:rPr>
        <w:t>s</w:t>
      </w:r>
      <w:r w:rsidR="009E5806" w:rsidRPr="00C07765">
        <w:rPr>
          <w:rFonts w:ascii="Segoe UI" w:hAnsi="Segoe UI" w:cs="Segoe UI"/>
        </w:rPr>
        <w:t xml:space="preserve"> </w:t>
      </w:r>
      <w:r w:rsidRPr="00C07765">
        <w:rPr>
          <w:rFonts w:ascii="Segoe UI" w:hAnsi="Segoe UI" w:cs="Segoe UI"/>
        </w:rPr>
        <w:t>JTS0401 to JTS0409</w:t>
      </w:r>
    </w:p>
    <w:p w:rsidR="00FE0842" w:rsidRPr="00C07765" w:rsidRDefault="000158B1">
      <w:pPr>
        <w:rPr>
          <w:rFonts w:ascii="Segoe UI" w:hAnsi="Segoe UI" w:cs="Segoe UI"/>
        </w:rPr>
      </w:pPr>
      <w:r w:rsidRPr="00C07765">
        <w:rPr>
          <w:rFonts w:ascii="Segoe UI" w:hAnsi="Segoe UI" w:cs="Segoe UI"/>
        </w:rPr>
        <w:t>Department for Transport statistics</w:t>
      </w:r>
      <w:r w:rsidR="009E5806" w:rsidRPr="00C07765">
        <w:rPr>
          <w:rFonts w:ascii="Segoe UI" w:hAnsi="Segoe UI" w:cs="Segoe UI"/>
        </w:rPr>
        <w:t xml:space="preserve"> - </w:t>
      </w:r>
      <w:r w:rsidRPr="00C07765">
        <w:rPr>
          <w:rFonts w:ascii="Segoe UI" w:hAnsi="Segoe UI" w:cs="Segoe UI"/>
        </w:rPr>
        <w:t>Vehicle Traffic and Flow, Tables TRA8901, 8902, 8903, 8907</w:t>
      </w:r>
    </w:p>
    <w:p w:rsidR="00727708" w:rsidRPr="00C07765" w:rsidRDefault="00727708">
      <w:pPr>
        <w:rPr>
          <w:rFonts w:ascii="Segoe UI" w:hAnsi="Segoe UI" w:cs="Segoe UI"/>
        </w:rPr>
      </w:pPr>
      <w:r w:rsidRPr="00C07765">
        <w:rPr>
          <w:rFonts w:ascii="Segoe UI" w:hAnsi="Segoe UI" w:cs="Segoe UI"/>
        </w:rPr>
        <w:t>Department for Transport statistics - Total Road Length, Table RDL0102a</w:t>
      </w:r>
    </w:p>
    <w:p w:rsidR="00727708" w:rsidRPr="00C07765" w:rsidRDefault="00727708" w:rsidP="00727708">
      <w:pPr>
        <w:rPr>
          <w:rFonts w:ascii="Segoe UI" w:hAnsi="Segoe UI" w:cs="Segoe UI"/>
        </w:rPr>
      </w:pPr>
      <w:r w:rsidRPr="00C07765">
        <w:rPr>
          <w:rFonts w:ascii="Segoe UI" w:hAnsi="Segoe UI" w:cs="Segoe UI"/>
        </w:rPr>
        <w:t xml:space="preserve">Department for Transport statistics - </w:t>
      </w:r>
      <w:r w:rsidR="00246E3A" w:rsidRPr="00C07765">
        <w:rPr>
          <w:rFonts w:ascii="Segoe UI" w:hAnsi="Segoe UI" w:cs="Segoe UI"/>
        </w:rPr>
        <w:t>Classified roads where maintenance should be considered, Table RDL0120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C07765" w:rsidP="00727708">
      <w:pPr>
        <w:rPr>
          <w:rFonts w:ascii="Segoe UI" w:hAnsi="Segoe UI" w:cs="Segoe UI"/>
        </w:rPr>
      </w:pPr>
      <w:r w:rsidRPr="00C07765">
        <w:rPr>
          <w:rFonts w:ascii="Segoe UI" w:hAnsi="Segoe UI" w:cs="Segoe UI"/>
        </w:rPr>
        <w:t>Department for Transport statistics - Average speed on local 'A' roads, Table CGN0501</w:t>
      </w:r>
    </w:p>
    <w:p w:rsidR="00C07765" w:rsidRDefault="00C07765" w:rsidP="00C07765">
      <w:pPr>
        <w:rPr>
          <w:rFonts w:ascii="Segoe UI" w:hAnsi="Segoe UI" w:cs="Segoe UI"/>
        </w:rPr>
      </w:pPr>
      <w:r w:rsidRPr="00C07765">
        <w:rPr>
          <w:rFonts w:ascii="Segoe UI" w:hAnsi="Segoe UI" w:cs="Segoe UI"/>
        </w:rPr>
        <w:t>Department for Transport statistics - Average delay on local 'A' roads, Table CGN0502</w:t>
      </w:r>
    </w:p>
    <w:p w:rsidR="00D9047C" w:rsidRPr="00C07765" w:rsidRDefault="00D9047C" w:rsidP="00C07765">
      <w:pPr>
        <w:rPr>
          <w:rFonts w:ascii="Segoe UI" w:hAnsi="Segoe UI" w:cs="Segoe UI"/>
        </w:rPr>
      </w:pPr>
      <w:r w:rsidRPr="00C07765">
        <w:rPr>
          <w:rFonts w:ascii="Segoe UI" w:hAnsi="Segoe UI" w:cs="Segoe UI"/>
        </w:rPr>
        <w:t>Department for Transport statistics -</w:t>
      </w:r>
      <w:r>
        <w:rPr>
          <w:rFonts w:ascii="Segoe UI" w:hAnsi="Segoe UI" w:cs="Segoe UI"/>
        </w:rPr>
        <w:t xml:space="preserve"> Walking and Cycling Statistics, Tables CW0301, 0302, 0303</w:t>
      </w:r>
    </w:p>
    <w:sectPr w:rsidR="00D9047C" w:rsidRPr="00C07765" w:rsidSect="00E33D6C">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010A4"/>
    <w:rsid w:val="000054D5"/>
    <w:rsid w:val="000158B1"/>
    <w:rsid w:val="000174B7"/>
    <w:rsid w:val="00023D6D"/>
    <w:rsid w:val="0002682D"/>
    <w:rsid w:val="00032B95"/>
    <w:rsid w:val="00034AE0"/>
    <w:rsid w:val="00042BD7"/>
    <w:rsid w:val="0004365F"/>
    <w:rsid w:val="00046FC3"/>
    <w:rsid w:val="00047AA3"/>
    <w:rsid w:val="00047B6E"/>
    <w:rsid w:val="00054C2A"/>
    <w:rsid w:val="00057D91"/>
    <w:rsid w:val="00061590"/>
    <w:rsid w:val="0007288F"/>
    <w:rsid w:val="00073826"/>
    <w:rsid w:val="00075447"/>
    <w:rsid w:val="00077094"/>
    <w:rsid w:val="000A1169"/>
    <w:rsid w:val="000A1E62"/>
    <w:rsid w:val="000A2068"/>
    <w:rsid w:val="000A253B"/>
    <w:rsid w:val="000A31A2"/>
    <w:rsid w:val="000A52B2"/>
    <w:rsid w:val="000B3BB2"/>
    <w:rsid w:val="000B410A"/>
    <w:rsid w:val="000D1137"/>
    <w:rsid w:val="000D57F2"/>
    <w:rsid w:val="000D6B86"/>
    <w:rsid w:val="000D7426"/>
    <w:rsid w:val="000E0225"/>
    <w:rsid w:val="000E2973"/>
    <w:rsid w:val="000E6E0C"/>
    <w:rsid w:val="000F05A5"/>
    <w:rsid w:val="000F446C"/>
    <w:rsid w:val="00111193"/>
    <w:rsid w:val="001157F0"/>
    <w:rsid w:val="00123766"/>
    <w:rsid w:val="001258FF"/>
    <w:rsid w:val="001351DF"/>
    <w:rsid w:val="00136993"/>
    <w:rsid w:val="00137983"/>
    <w:rsid w:val="001458E3"/>
    <w:rsid w:val="00152A66"/>
    <w:rsid w:val="00153614"/>
    <w:rsid w:val="00153631"/>
    <w:rsid w:val="00154234"/>
    <w:rsid w:val="00162CA7"/>
    <w:rsid w:val="00163203"/>
    <w:rsid w:val="00163DF2"/>
    <w:rsid w:val="00164387"/>
    <w:rsid w:val="00170CCD"/>
    <w:rsid w:val="00171D21"/>
    <w:rsid w:val="001779A1"/>
    <w:rsid w:val="001818B2"/>
    <w:rsid w:val="00182EBD"/>
    <w:rsid w:val="0018549B"/>
    <w:rsid w:val="00190253"/>
    <w:rsid w:val="00192701"/>
    <w:rsid w:val="001977B6"/>
    <w:rsid w:val="001A1D5B"/>
    <w:rsid w:val="001A332C"/>
    <w:rsid w:val="001B2382"/>
    <w:rsid w:val="001B2B01"/>
    <w:rsid w:val="001C4F6D"/>
    <w:rsid w:val="001C52DE"/>
    <w:rsid w:val="001D6CB6"/>
    <w:rsid w:val="001E09A4"/>
    <w:rsid w:val="001E7C97"/>
    <w:rsid w:val="001F32CF"/>
    <w:rsid w:val="001F4A28"/>
    <w:rsid w:val="001F5674"/>
    <w:rsid w:val="00203D05"/>
    <w:rsid w:val="00205C7F"/>
    <w:rsid w:val="00212307"/>
    <w:rsid w:val="00214346"/>
    <w:rsid w:val="002143A4"/>
    <w:rsid w:val="0021628D"/>
    <w:rsid w:val="002211F3"/>
    <w:rsid w:val="00230193"/>
    <w:rsid w:val="00230CF6"/>
    <w:rsid w:val="002348E6"/>
    <w:rsid w:val="002408BD"/>
    <w:rsid w:val="0024527D"/>
    <w:rsid w:val="00246E3A"/>
    <w:rsid w:val="00247483"/>
    <w:rsid w:val="002565E6"/>
    <w:rsid w:val="00256D31"/>
    <w:rsid w:val="00257FBA"/>
    <w:rsid w:val="002651E1"/>
    <w:rsid w:val="00274ED9"/>
    <w:rsid w:val="002A2690"/>
    <w:rsid w:val="002A409D"/>
    <w:rsid w:val="002B236C"/>
    <w:rsid w:val="002B39D0"/>
    <w:rsid w:val="002C13E8"/>
    <w:rsid w:val="002C6BB4"/>
    <w:rsid w:val="002D204E"/>
    <w:rsid w:val="002D62CB"/>
    <w:rsid w:val="002E57EA"/>
    <w:rsid w:val="002F3E91"/>
    <w:rsid w:val="00300A54"/>
    <w:rsid w:val="00317AEA"/>
    <w:rsid w:val="003223A1"/>
    <w:rsid w:val="0032648E"/>
    <w:rsid w:val="00326C5A"/>
    <w:rsid w:val="0033684A"/>
    <w:rsid w:val="00336CE0"/>
    <w:rsid w:val="00340480"/>
    <w:rsid w:val="00340CF5"/>
    <w:rsid w:val="00344742"/>
    <w:rsid w:val="003501F6"/>
    <w:rsid w:val="00353545"/>
    <w:rsid w:val="003555C6"/>
    <w:rsid w:val="00357E6D"/>
    <w:rsid w:val="00360FD9"/>
    <w:rsid w:val="00377466"/>
    <w:rsid w:val="00381326"/>
    <w:rsid w:val="003815DA"/>
    <w:rsid w:val="00383CA1"/>
    <w:rsid w:val="003878B8"/>
    <w:rsid w:val="003965DC"/>
    <w:rsid w:val="003A18D3"/>
    <w:rsid w:val="003A61C3"/>
    <w:rsid w:val="003B5117"/>
    <w:rsid w:val="003C135F"/>
    <w:rsid w:val="003C1462"/>
    <w:rsid w:val="003C3F77"/>
    <w:rsid w:val="003C40D8"/>
    <w:rsid w:val="003C7266"/>
    <w:rsid w:val="003C7651"/>
    <w:rsid w:val="003D0B0C"/>
    <w:rsid w:val="003D7517"/>
    <w:rsid w:val="003E0AA8"/>
    <w:rsid w:val="003E7BDE"/>
    <w:rsid w:val="003E7C4A"/>
    <w:rsid w:val="003F4038"/>
    <w:rsid w:val="004033DF"/>
    <w:rsid w:val="00415E18"/>
    <w:rsid w:val="004167EC"/>
    <w:rsid w:val="00417448"/>
    <w:rsid w:val="00422A00"/>
    <w:rsid w:val="00427EEE"/>
    <w:rsid w:val="00443081"/>
    <w:rsid w:val="00443F34"/>
    <w:rsid w:val="00445CF6"/>
    <w:rsid w:val="00451FF7"/>
    <w:rsid w:val="00452B0C"/>
    <w:rsid w:val="004623CF"/>
    <w:rsid w:val="00465750"/>
    <w:rsid w:val="0046600A"/>
    <w:rsid w:val="0046620E"/>
    <w:rsid w:val="00466CD4"/>
    <w:rsid w:val="004737C5"/>
    <w:rsid w:val="00475274"/>
    <w:rsid w:val="00477C88"/>
    <w:rsid w:val="004972B9"/>
    <w:rsid w:val="004A1C29"/>
    <w:rsid w:val="004A3EBA"/>
    <w:rsid w:val="004A44E1"/>
    <w:rsid w:val="004B4BE1"/>
    <w:rsid w:val="004C095C"/>
    <w:rsid w:val="004C2A1C"/>
    <w:rsid w:val="004D3814"/>
    <w:rsid w:val="004E747D"/>
    <w:rsid w:val="004F4216"/>
    <w:rsid w:val="004F53EE"/>
    <w:rsid w:val="00500FD5"/>
    <w:rsid w:val="00506AD4"/>
    <w:rsid w:val="00506E62"/>
    <w:rsid w:val="00510624"/>
    <w:rsid w:val="00513BB9"/>
    <w:rsid w:val="00513C6F"/>
    <w:rsid w:val="005155B1"/>
    <w:rsid w:val="00516AA7"/>
    <w:rsid w:val="00517C92"/>
    <w:rsid w:val="0052568F"/>
    <w:rsid w:val="00525FC6"/>
    <w:rsid w:val="00537FE8"/>
    <w:rsid w:val="0054588F"/>
    <w:rsid w:val="00545A25"/>
    <w:rsid w:val="0054613A"/>
    <w:rsid w:val="00555F9F"/>
    <w:rsid w:val="00557B7F"/>
    <w:rsid w:val="0057388A"/>
    <w:rsid w:val="00575E1E"/>
    <w:rsid w:val="00580911"/>
    <w:rsid w:val="0058264D"/>
    <w:rsid w:val="00587D4E"/>
    <w:rsid w:val="005947D7"/>
    <w:rsid w:val="0059581E"/>
    <w:rsid w:val="00595B2F"/>
    <w:rsid w:val="00597019"/>
    <w:rsid w:val="005B3009"/>
    <w:rsid w:val="005B3FA2"/>
    <w:rsid w:val="005B6A98"/>
    <w:rsid w:val="005C095A"/>
    <w:rsid w:val="005C33B2"/>
    <w:rsid w:val="005D01AA"/>
    <w:rsid w:val="005D523F"/>
    <w:rsid w:val="005D6CB1"/>
    <w:rsid w:val="00600EBE"/>
    <w:rsid w:val="00602484"/>
    <w:rsid w:val="00604F05"/>
    <w:rsid w:val="0060780B"/>
    <w:rsid w:val="0061484F"/>
    <w:rsid w:val="00614B35"/>
    <w:rsid w:val="0061591F"/>
    <w:rsid w:val="00616D21"/>
    <w:rsid w:val="006245BC"/>
    <w:rsid w:val="00630C41"/>
    <w:rsid w:val="006464CF"/>
    <w:rsid w:val="006539F3"/>
    <w:rsid w:val="0065405D"/>
    <w:rsid w:val="00662CDA"/>
    <w:rsid w:val="00665AAB"/>
    <w:rsid w:val="00667399"/>
    <w:rsid w:val="00672976"/>
    <w:rsid w:val="00675025"/>
    <w:rsid w:val="00680313"/>
    <w:rsid w:val="00680CB9"/>
    <w:rsid w:val="0068362E"/>
    <w:rsid w:val="00684321"/>
    <w:rsid w:val="00692E85"/>
    <w:rsid w:val="006931D7"/>
    <w:rsid w:val="006A128F"/>
    <w:rsid w:val="006A3967"/>
    <w:rsid w:val="006A58A6"/>
    <w:rsid w:val="006C5ECC"/>
    <w:rsid w:val="006D1E0C"/>
    <w:rsid w:val="006D46D6"/>
    <w:rsid w:val="006D623B"/>
    <w:rsid w:val="006D63A2"/>
    <w:rsid w:val="006D6F09"/>
    <w:rsid w:val="006E0A15"/>
    <w:rsid w:val="006E1F1B"/>
    <w:rsid w:val="006F2C9A"/>
    <w:rsid w:val="006F4B5C"/>
    <w:rsid w:val="006F4FD3"/>
    <w:rsid w:val="006F62FD"/>
    <w:rsid w:val="006F75BA"/>
    <w:rsid w:val="0070182B"/>
    <w:rsid w:val="00702B26"/>
    <w:rsid w:val="00707CEB"/>
    <w:rsid w:val="00715809"/>
    <w:rsid w:val="00715D9D"/>
    <w:rsid w:val="00717F61"/>
    <w:rsid w:val="00727708"/>
    <w:rsid w:val="00730DEC"/>
    <w:rsid w:val="00731414"/>
    <w:rsid w:val="007404AB"/>
    <w:rsid w:val="00751EDB"/>
    <w:rsid w:val="00753243"/>
    <w:rsid w:val="0075601D"/>
    <w:rsid w:val="0076396B"/>
    <w:rsid w:val="00765529"/>
    <w:rsid w:val="007669F4"/>
    <w:rsid w:val="00784950"/>
    <w:rsid w:val="00786635"/>
    <w:rsid w:val="007907B4"/>
    <w:rsid w:val="007909EB"/>
    <w:rsid w:val="007929B2"/>
    <w:rsid w:val="00796FB4"/>
    <w:rsid w:val="007B5629"/>
    <w:rsid w:val="007C052F"/>
    <w:rsid w:val="007C397F"/>
    <w:rsid w:val="007C6015"/>
    <w:rsid w:val="007D3509"/>
    <w:rsid w:val="007D4BF5"/>
    <w:rsid w:val="007E0505"/>
    <w:rsid w:val="007E65D3"/>
    <w:rsid w:val="007F5F54"/>
    <w:rsid w:val="007F66C5"/>
    <w:rsid w:val="007F7192"/>
    <w:rsid w:val="008003D4"/>
    <w:rsid w:val="008011D2"/>
    <w:rsid w:val="008211F5"/>
    <w:rsid w:val="008224D1"/>
    <w:rsid w:val="00826B10"/>
    <w:rsid w:val="0083304D"/>
    <w:rsid w:val="00843934"/>
    <w:rsid w:val="008447A6"/>
    <w:rsid w:val="00855650"/>
    <w:rsid w:val="008576ED"/>
    <w:rsid w:val="008615B3"/>
    <w:rsid w:val="00863A32"/>
    <w:rsid w:val="00866A72"/>
    <w:rsid w:val="0086703C"/>
    <w:rsid w:val="00867751"/>
    <w:rsid w:val="00867BF8"/>
    <w:rsid w:val="00870CC8"/>
    <w:rsid w:val="00871D69"/>
    <w:rsid w:val="00884EF2"/>
    <w:rsid w:val="00886701"/>
    <w:rsid w:val="00886FEC"/>
    <w:rsid w:val="00890675"/>
    <w:rsid w:val="0089357E"/>
    <w:rsid w:val="008953FB"/>
    <w:rsid w:val="008A1121"/>
    <w:rsid w:val="008B18D9"/>
    <w:rsid w:val="008B21E0"/>
    <w:rsid w:val="008C01F1"/>
    <w:rsid w:val="008C071D"/>
    <w:rsid w:val="008C64F0"/>
    <w:rsid w:val="008C78B5"/>
    <w:rsid w:val="008D1139"/>
    <w:rsid w:val="008D3C0F"/>
    <w:rsid w:val="008D66C0"/>
    <w:rsid w:val="008D77C8"/>
    <w:rsid w:val="008E2C36"/>
    <w:rsid w:val="008F0E11"/>
    <w:rsid w:val="008F3CBB"/>
    <w:rsid w:val="00912EBB"/>
    <w:rsid w:val="0091597E"/>
    <w:rsid w:val="00926DC5"/>
    <w:rsid w:val="00933D6C"/>
    <w:rsid w:val="009436EB"/>
    <w:rsid w:val="00944252"/>
    <w:rsid w:val="009500DD"/>
    <w:rsid w:val="009504FF"/>
    <w:rsid w:val="009528EC"/>
    <w:rsid w:val="00952B99"/>
    <w:rsid w:val="009576E7"/>
    <w:rsid w:val="009579D3"/>
    <w:rsid w:val="00962398"/>
    <w:rsid w:val="009630F1"/>
    <w:rsid w:val="00963129"/>
    <w:rsid w:val="00963EAA"/>
    <w:rsid w:val="00965EE3"/>
    <w:rsid w:val="009676E3"/>
    <w:rsid w:val="009867B6"/>
    <w:rsid w:val="009902B8"/>
    <w:rsid w:val="009906DD"/>
    <w:rsid w:val="00991510"/>
    <w:rsid w:val="009B0857"/>
    <w:rsid w:val="009B632B"/>
    <w:rsid w:val="009B687B"/>
    <w:rsid w:val="009C4491"/>
    <w:rsid w:val="009C795C"/>
    <w:rsid w:val="009D5C2F"/>
    <w:rsid w:val="009E23B5"/>
    <w:rsid w:val="009E5806"/>
    <w:rsid w:val="009F4C94"/>
    <w:rsid w:val="00A012FC"/>
    <w:rsid w:val="00A02536"/>
    <w:rsid w:val="00A118E9"/>
    <w:rsid w:val="00A16075"/>
    <w:rsid w:val="00A22EF5"/>
    <w:rsid w:val="00A3620F"/>
    <w:rsid w:val="00A3775B"/>
    <w:rsid w:val="00A3780F"/>
    <w:rsid w:val="00A44C1F"/>
    <w:rsid w:val="00A45F47"/>
    <w:rsid w:val="00A47C7D"/>
    <w:rsid w:val="00A504D8"/>
    <w:rsid w:val="00A55118"/>
    <w:rsid w:val="00A567A9"/>
    <w:rsid w:val="00A57F92"/>
    <w:rsid w:val="00A61248"/>
    <w:rsid w:val="00A66658"/>
    <w:rsid w:val="00A67FA7"/>
    <w:rsid w:val="00A75DA5"/>
    <w:rsid w:val="00A8038C"/>
    <w:rsid w:val="00AA1C54"/>
    <w:rsid w:val="00AA40CB"/>
    <w:rsid w:val="00AA4EAF"/>
    <w:rsid w:val="00AB123C"/>
    <w:rsid w:val="00AB2003"/>
    <w:rsid w:val="00AB51B9"/>
    <w:rsid w:val="00AC18BA"/>
    <w:rsid w:val="00AC7A51"/>
    <w:rsid w:val="00AD10D9"/>
    <w:rsid w:val="00AE3362"/>
    <w:rsid w:val="00AF0048"/>
    <w:rsid w:val="00B14FB6"/>
    <w:rsid w:val="00B41079"/>
    <w:rsid w:val="00B4609A"/>
    <w:rsid w:val="00B5201A"/>
    <w:rsid w:val="00B66EC4"/>
    <w:rsid w:val="00B71733"/>
    <w:rsid w:val="00B7287F"/>
    <w:rsid w:val="00B82315"/>
    <w:rsid w:val="00B84331"/>
    <w:rsid w:val="00B928CD"/>
    <w:rsid w:val="00B967F2"/>
    <w:rsid w:val="00BA5521"/>
    <w:rsid w:val="00BA70F8"/>
    <w:rsid w:val="00BB00DB"/>
    <w:rsid w:val="00BB01EE"/>
    <w:rsid w:val="00BC7186"/>
    <w:rsid w:val="00BD2048"/>
    <w:rsid w:val="00BD2351"/>
    <w:rsid w:val="00BD72DF"/>
    <w:rsid w:val="00BE0C65"/>
    <w:rsid w:val="00BE32D1"/>
    <w:rsid w:val="00BE3B1E"/>
    <w:rsid w:val="00BE4633"/>
    <w:rsid w:val="00BE63C8"/>
    <w:rsid w:val="00BF0BE9"/>
    <w:rsid w:val="00BF15DF"/>
    <w:rsid w:val="00BF44B3"/>
    <w:rsid w:val="00BF4619"/>
    <w:rsid w:val="00C027BE"/>
    <w:rsid w:val="00C07765"/>
    <w:rsid w:val="00C116E2"/>
    <w:rsid w:val="00C13421"/>
    <w:rsid w:val="00C26302"/>
    <w:rsid w:val="00C27833"/>
    <w:rsid w:val="00C31933"/>
    <w:rsid w:val="00C33EE4"/>
    <w:rsid w:val="00C345EF"/>
    <w:rsid w:val="00C359CC"/>
    <w:rsid w:val="00C427E1"/>
    <w:rsid w:val="00C43302"/>
    <w:rsid w:val="00C60E60"/>
    <w:rsid w:val="00C62E3C"/>
    <w:rsid w:val="00C63A68"/>
    <w:rsid w:val="00C66719"/>
    <w:rsid w:val="00C83D32"/>
    <w:rsid w:val="00C84D17"/>
    <w:rsid w:val="00C85FB2"/>
    <w:rsid w:val="00C9139A"/>
    <w:rsid w:val="00CA08E1"/>
    <w:rsid w:val="00CA0B05"/>
    <w:rsid w:val="00CB452F"/>
    <w:rsid w:val="00CB4C8D"/>
    <w:rsid w:val="00CB7598"/>
    <w:rsid w:val="00CC39F6"/>
    <w:rsid w:val="00CD17F8"/>
    <w:rsid w:val="00CD5305"/>
    <w:rsid w:val="00CE1A68"/>
    <w:rsid w:val="00CF207D"/>
    <w:rsid w:val="00CF3F55"/>
    <w:rsid w:val="00CF5D90"/>
    <w:rsid w:val="00CF7E07"/>
    <w:rsid w:val="00D032A8"/>
    <w:rsid w:val="00D1146E"/>
    <w:rsid w:val="00D11ADA"/>
    <w:rsid w:val="00D170C3"/>
    <w:rsid w:val="00D238E7"/>
    <w:rsid w:val="00D30E36"/>
    <w:rsid w:val="00D31FBD"/>
    <w:rsid w:val="00D32C9E"/>
    <w:rsid w:val="00D34678"/>
    <w:rsid w:val="00D3717A"/>
    <w:rsid w:val="00D43F68"/>
    <w:rsid w:val="00D44CBB"/>
    <w:rsid w:val="00D51F64"/>
    <w:rsid w:val="00D60E26"/>
    <w:rsid w:val="00D61059"/>
    <w:rsid w:val="00D625BB"/>
    <w:rsid w:val="00D711F4"/>
    <w:rsid w:val="00D72DD5"/>
    <w:rsid w:val="00D75666"/>
    <w:rsid w:val="00D8105E"/>
    <w:rsid w:val="00D83E34"/>
    <w:rsid w:val="00D85C8C"/>
    <w:rsid w:val="00D85CD8"/>
    <w:rsid w:val="00D86CE5"/>
    <w:rsid w:val="00D87537"/>
    <w:rsid w:val="00D9047C"/>
    <w:rsid w:val="00D96D74"/>
    <w:rsid w:val="00DA24E3"/>
    <w:rsid w:val="00DA2FFE"/>
    <w:rsid w:val="00DA3CE6"/>
    <w:rsid w:val="00DA71FC"/>
    <w:rsid w:val="00DB0C84"/>
    <w:rsid w:val="00DB287A"/>
    <w:rsid w:val="00DB5BD7"/>
    <w:rsid w:val="00DB6ED2"/>
    <w:rsid w:val="00DC21A8"/>
    <w:rsid w:val="00DD0F1F"/>
    <w:rsid w:val="00DE1D53"/>
    <w:rsid w:val="00DE28F6"/>
    <w:rsid w:val="00DE69DB"/>
    <w:rsid w:val="00DF47ED"/>
    <w:rsid w:val="00DF55FA"/>
    <w:rsid w:val="00E04281"/>
    <w:rsid w:val="00E06E00"/>
    <w:rsid w:val="00E07698"/>
    <w:rsid w:val="00E12E73"/>
    <w:rsid w:val="00E15F39"/>
    <w:rsid w:val="00E17957"/>
    <w:rsid w:val="00E2160C"/>
    <w:rsid w:val="00E21DB6"/>
    <w:rsid w:val="00E24A9C"/>
    <w:rsid w:val="00E30696"/>
    <w:rsid w:val="00E33D6C"/>
    <w:rsid w:val="00E43E31"/>
    <w:rsid w:val="00E51B66"/>
    <w:rsid w:val="00E528BE"/>
    <w:rsid w:val="00E53620"/>
    <w:rsid w:val="00E53AD6"/>
    <w:rsid w:val="00E54A42"/>
    <w:rsid w:val="00E57E59"/>
    <w:rsid w:val="00E60537"/>
    <w:rsid w:val="00E62DF2"/>
    <w:rsid w:val="00E7007C"/>
    <w:rsid w:val="00E715D0"/>
    <w:rsid w:val="00E81122"/>
    <w:rsid w:val="00E83BB5"/>
    <w:rsid w:val="00E866F7"/>
    <w:rsid w:val="00EA033F"/>
    <w:rsid w:val="00EA1E46"/>
    <w:rsid w:val="00EA5CD3"/>
    <w:rsid w:val="00EB05DF"/>
    <w:rsid w:val="00EB236D"/>
    <w:rsid w:val="00EB5237"/>
    <w:rsid w:val="00EB6055"/>
    <w:rsid w:val="00EC2D0C"/>
    <w:rsid w:val="00EC3808"/>
    <w:rsid w:val="00ED52B1"/>
    <w:rsid w:val="00EE29BA"/>
    <w:rsid w:val="00EE339D"/>
    <w:rsid w:val="00EE3B1B"/>
    <w:rsid w:val="00EE7458"/>
    <w:rsid w:val="00EF4096"/>
    <w:rsid w:val="00EF556D"/>
    <w:rsid w:val="00EF5EFE"/>
    <w:rsid w:val="00EF6F56"/>
    <w:rsid w:val="00F047FD"/>
    <w:rsid w:val="00F06E52"/>
    <w:rsid w:val="00F1423B"/>
    <w:rsid w:val="00F16604"/>
    <w:rsid w:val="00F245AF"/>
    <w:rsid w:val="00F24868"/>
    <w:rsid w:val="00F30EDA"/>
    <w:rsid w:val="00F31EBB"/>
    <w:rsid w:val="00F3443F"/>
    <w:rsid w:val="00F37401"/>
    <w:rsid w:val="00F4084D"/>
    <w:rsid w:val="00F4700A"/>
    <w:rsid w:val="00F60EE2"/>
    <w:rsid w:val="00F6181E"/>
    <w:rsid w:val="00F61D21"/>
    <w:rsid w:val="00F624C0"/>
    <w:rsid w:val="00F74920"/>
    <w:rsid w:val="00F7542E"/>
    <w:rsid w:val="00F8009A"/>
    <w:rsid w:val="00F93AE4"/>
    <w:rsid w:val="00F96C3D"/>
    <w:rsid w:val="00FA341B"/>
    <w:rsid w:val="00FA49E0"/>
    <w:rsid w:val="00FA7924"/>
    <w:rsid w:val="00FC41C0"/>
    <w:rsid w:val="00FD0E88"/>
    <w:rsid w:val="00FD6BC0"/>
    <w:rsid w:val="00FE0842"/>
    <w:rsid w:val="00FE66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52787552">
      <w:bodyDiv w:val="1"/>
      <w:marLeft w:val="0"/>
      <w:marRight w:val="0"/>
      <w:marTop w:val="0"/>
      <w:marBottom w:val="0"/>
      <w:divBdr>
        <w:top w:val="none" w:sz="0" w:space="0" w:color="auto"/>
        <w:left w:val="none" w:sz="0" w:space="0" w:color="auto"/>
        <w:bottom w:val="none" w:sz="0" w:space="0" w:color="auto"/>
        <w:right w:val="none" w:sz="0" w:space="0" w:color="auto"/>
      </w:divBdr>
    </w:div>
    <w:div w:id="253166940">
      <w:bodyDiv w:val="1"/>
      <w:marLeft w:val="0"/>
      <w:marRight w:val="0"/>
      <w:marTop w:val="0"/>
      <w:marBottom w:val="0"/>
      <w:divBdr>
        <w:top w:val="none" w:sz="0" w:space="0" w:color="auto"/>
        <w:left w:val="none" w:sz="0" w:space="0" w:color="auto"/>
        <w:bottom w:val="none" w:sz="0" w:space="0" w:color="auto"/>
        <w:right w:val="none" w:sz="0" w:space="0" w:color="auto"/>
      </w:divBdr>
    </w:div>
    <w:div w:id="591934633">
      <w:bodyDiv w:val="1"/>
      <w:marLeft w:val="0"/>
      <w:marRight w:val="0"/>
      <w:marTop w:val="0"/>
      <w:marBottom w:val="0"/>
      <w:divBdr>
        <w:top w:val="none" w:sz="0" w:space="0" w:color="auto"/>
        <w:left w:val="none" w:sz="0" w:space="0" w:color="auto"/>
        <w:bottom w:val="none" w:sz="0" w:space="0" w:color="auto"/>
        <w:right w:val="none" w:sz="0" w:space="0" w:color="auto"/>
      </w:divBdr>
    </w:div>
    <w:div w:id="686061628">
      <w:bodyDiv w:val="1"/>
      <w:marLeft w:val="0"/>
      <w:marRight w:val="0"/>
      <w:marTop w:val="0"/>
      <w:marBottom w:val="0"/>
      <w:divBdr>
        <w:top w:val="none" w:sz="0" w:space="0" w:color="auto"/>
        <w:left w:val="none" w:sz="0" w:space="0" w:color="auto"/>
        <w:bottom w:val="none" w:sz="0" w:space="0" w:color="auto"/>
        <w:right w:val="none" w:sz="0" w:space="0" w:color="auto"/>
      </w:divBdr>
    </w:div>
    <w:div w:id="863204165">
      <w:bodyDiv w:val="1"/>
      <w:marLeft w:val="0"/>
      <w:marRight w:val="0"/>
      <w:marTop w:val="0"/>
      <w:marBottom w:val="0"/>
      <w:divBdr>
        <w:top w:val="none" w:sz="0" w:space="0" w:color="auto"/>
        <w:left w:val="none" w:sz="0" w:space="0" w:color="auto"/>
        <w:bottom w:val="none" w:sz="0" w:space="0" w:color="auto"/>
        <w:right w:val="none" w:sz="0" w:space="0" w:color="auto"/>
      </w:divBdr>
    </w:div>
    <w:div w:id="1064110794">
      <w:bodyDiv w:val="1"/>
      <w:marLeft w:val="0"/>
      <w:marRight w:val="0"/>
      <w:marTop w:val="0"/>
      <w:marBottom w:val="0"/>
      <w:divBdr>
        <w:top w:val="none" w:sz="0" w:space="0" w:color="auto"/>
        <w:left w:val="none" w:sz="0" w:space="0" w:color="auto"/>
        <w:bottom w:val="none" w:sz="0" w:space="0" w:color="auto"/>
        <w:right w:val="none" w:sz="0" w:space="0" w:color="auto"/>
      </w:divBdr>
    </w:div>
    <w:div w:id="1416517019">
      <w:bodyDiv w:val="1"/>
      <w:marLeft w:val="0"/>
      <w:marRight w:val="0"/>
      <w:marTop w:val="0"/>
      <w:marBottom w:val="0"/>
      <w:divBdr>
        <w:top w:val="none" w:sz="0" w:space="0" w:color="auto"/>
        <w:left w:val="none" w:sz="0" w:space="0" w:color="auto"/>
        <w:bottom w:val="none" w:sz="0" w:space="0" w:color="auto"/>
        <w:right w:val="none" w:sz="0" w:space="0" w:color="auto"/>
      </w:divBdr>
    </w:div>
    <w:div w:id="1457138753">
      <w:bodyDiv w:val="1"/>
      <w:marLeft w:val="0"/>
      <w:marRight w:val="0"/>
      <w:marTop w:val="0"/>
      <w:marBottom w:val="0"/>
      <w:divBdr>
        <w:top w:val="none" w:sz="0" w:space="0" w:color="auto"/>
        <w:left w:val="none" w:sz="0" w:space="0" w:color="auto"/>
        <w:bottom w:val="none" w:sz="0" w:space="0" w:color="auto"/>
        <w:right w:val="none" w:sz="0" w:space="0" w:color="auto"/>
      </w:divBdr>
    </w:div>
    <w:div w:id="1555655521">
      <w:bodyDiv w:val="1"/>
      <w:marLeft w:val="0"/>
      <w:marRight w:val="0"/>
      <w:marTop w:val="0"/>
      <w:marBottom w:val="0"/>
      <w:divBdr>
        <w:top w:val="none" w:sz="0" w:space="0" w:color="auto"/>
        <w:left w:val="none" w:sz="0" w:space="0" w:color="auto"/>
        <w:bottom w:val="none" w:sz="0" w:space="0" w:color="auto"/>
        <w:right w:val="none" w:sz="0" w:space="0" w:color="auto"/>
      </w:divBdr>
    </w:div>
    <w:div w:id="1575311875">
      <w:bodyDiv w:val="1"/>
      <w:marLeft w:val="0"/>
      <w:marRight w:val="0"/>
      <w:marTop w:val="0"/>
      <w:marBottom w:val="0"/>
      <w:divBdr>
        <w:top w:val="none" w:sz="0" w:space="0" w:color="auto"/>
        <w:left w:val="none" w:sz="0" w:space="0" w:color="auto"/>
        <w:bottom w:val="none" w:sz="0" w:space="0" w:color="auto"/>
        <w:right w:val="none" w:sz="0" w:space="0" w:color="auto"/>
      </w:divBdr>
    </w:div>
    <w:div w:id="1593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chart" Target="charts/chart41.xml"/><Relationship Id="rId50" Type="http://schemas.openxmlformats.org/officeDocument/2006/relationships/chart" Target="charts/chart44.xml"/><Relationship Id="rId55" Type="http://schemas.openxmlformats.org/officeDocument/2006/relationships/chart" Target="charts/chart49.xml"/><Relationship Id="rId63" Type="http://schemas.openxmlformats.org/officeDocument/2006/relationships/chart" Target="charts/chart57.xml"/><Relationship Id="rId68" Type="http://schemas.openxmlformats.org/officeDocument/2006/relationships/chart" Target="charts/chart62.xml"/><Relationship Id="rId76" Type="http://schemas.openxmlformats.org/officeDocument/2006/relationships/chart" Target="charts/chart70.xml"/><Relationship Id="rId7" Type="http://schemas.openxmlformats.org/officeDocument/2006/relationships/chart" Target="charts/chart1.xml"/><Relationship Id="rId71" Type="http://schemas.openxmlformats.org/officeDocument/2006/relationships/chart" Target="charts/chart65.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3.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chart" Target="charts/chart47.xml"/><Relationship Id="rId58" Type="http://schemas.openxmlformats.org/officeDocument/2006/relationships/chart" Target="charts/chart52.xml"/><Relationship Id="rId66" Type="http://schemas.openxmlformats.org/officeDocument/2006/relationships/chart" Target="charts/chart60.xml"/><Relationship Id="rId74" Type="http://schemas.openxmlformats.org/officeDocument/2006/relationships/chart" Target="charts/chart68.xml"/><Relationship Id="rId79" Type="http://schemas.openxmlformats.org/officeDocument/2006/relationships/chart" Target="charts/chart73.xml"/><Relationship Id="rId5" Type="http://schemas.openxmlformats.org/officeDocument/2006/relationships/webSettings" Target="webSettings.xml"/><Relationship Id="rId61" Type="http://schemas.openxmlformats.org/officeDocument/2006/relationships/chart" Target="charts/chart55.xml"/><Relationship Id="rId82"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chart" Target="charts/chart54.xml"/><Relationship Id="rId65" Type="http://schemas.openxmlformats.org/officeDocument/2006/relationships/chart" Target="charts/chart59.xml"/><Relationship Id="rId73" Type="http://schemas.openxmlformats.org/officeDocument/2006/relationships/chart" Target="charts/chart67.xml"/><Relationship Id="rId78" Type="http://schemas.openxmlformats.org/officeDocument/2006/relationships/chart" Target="charts/chart7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56" Type="http://schemas.openxmlformats.org/officeDocument/2006/relationships/chart" Target="charts/chart50.xml"/><Relationship Id="rId64" Type="http://schemas.openxmlformats.org/officeDocument/2006/relationships/chart" Target="charts/chart58.xml"/><Relationship Id="rId69" Type="http://schemas.openxmlformats.org/officeDocument/2006/relationships/chart" Target="charts/chart63.xml"/><Relationship Id="rId77" Type="http://schemas.openxmlformats.org/officeDocument/2006/relationships/chart" Target="charts/chart71.xml"/><Relationship Id="rId8" Type="http://schemas.openxmlformats.org/officeDocument/2006/relationships/chart" Target="charts/chart2.xml"/><Relationship Id="rId51" Type="http://schemas.openxmlformats.org/officeDocument/2006/relationships/chart" Target="charts/chart45.xml"/><Relationship Id="rId72" Type="http://schemas.openxmlformats.org/officeDocument/2006/relationships/chart" Target="charts/chart66.xml"/><Relationship Id="rId80" Type="http://schemas.openxmlformats.org/officeDocument/2006/relationships/chart" Target="charts/chart74.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59" Type="http://schemas.openxmlformats.org/officeDocument/2006/relationships/chart" Target="charts/chart53.xml"/><Relationship Id="rId67" Type="http://schemas.openxmlformats.org/officeDocument/2006/relationships/chart" Target="charts/chart61.xml"/><Relationship Id="rId20" Type="http://schemas.openxmlformats.org/officeDocument/2006/relationships/chart" Target="charts/chart14.xml"/><Relationship Id="rId41" Type="http://schemas.openxmlformats.org/officeDocument/2006/relationships/chart" Target="charts/chart35.xml"/><Relationship Id="rId54" Type="http://schemas.openxmlformats.org/officeDocument/2006/relationships/chart" Target="charts/chart48.xml"/><Relationship Id="rId62" Type="http://schemas.openxmlformats.org/officeDocument/2006/relationships/chart" Target="charts/chart56.xml"/><Relationship Id="rId70" Type="http://schemas.openxmlformats.org/officeDocument/2006/relationships/chart" Target="charts/chart64.xml"/><Relationship Id="rId75" Type="http://schemas.openxmlformats.org/officeDocument/2006/relationships/chart" Target="charts/chart69.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chart" Target="charts/chart51.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employment centre with 100 to 499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Sheet1!$E$380</c:f>
              <c:strCache>
                <c:ptCount val="1"/>
                <c:pt idx="0">
                  <c:v>Predominantly Rural average</c:v>
                </c:pt>
              </c:strCache>
            </c:strRef>
          </c:tx>
          <c:spPr>
            <a:ln w="25400">
              <a:solidFill>
                <a:schemeClr val="bg1">
                  <a:lumMod val="6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16.229196831930103</c:v>
                </c:pt>
                <c:pt idx="1">
                  <c:v>16.770699601008904</c:v>
                </c:pt>
                <c:pt idx="2">
                  <c:v>24.951234328690635</c:v>
                </c:pt>
              </c:numCache>
            </c:numRef>
          </c:val>
        </c:ser>
        <c:ser>
          <c:idx val="2"/>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7.9084776433027333</c:v>
                </c:pt>
                <c:pt idx="1">
                  <c:v>7.8874987257904694</c:v>
                </c:pt>
                <c:pt idx="2">
                  <c:v>9.5929041765560203</c:v>
                </c:pt>
              </c:numCache>
            </c:numRef>
          </c:val>
        </c:ser>
        <c:ser>
          <c:idx val="3"/>
          <c:order val="2"/>
          <c:tx>
            <c:strRef>
              <c:f>Sheet1!$E$382</c:f>
              <c:strCache>
                <c:ptCount val="1"/>
                <c:pt idx="0">
                  <c:v>Shire County average</c:v>
                </c:pt>
              </c:strCache>
            </c:strRef>
          </c:tx>
          <c:spPr>
            <a:ln w="25400">
              <a:solidFill>
                <a:schemeClr val="accent1">
                  <a:lumMod val="40000"/>
                  <a:lumOff val="6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12.488698821749036</c:v>
                </c:pt>
                <c:pt idx="1">
                  <c:v>12.819584058553488</c:v>
                </c:pt>
                <c:pt idx="2">
                  <c:v>17.884665413100191</c:v>
                </c:pt>
              </c:numCache>
            </c:numRef>
          </c:val>
        </c:ser>
        <c:ser>
          <c:idx val="4"/>
          <c:order val="3"/>
          <c:tx>
            <c:strRef>
              <c:f>Sheet1!$E$383</c:f>
              <c:strCache>
                <c:ptCount val="1"/>
                <c:pt idx="0">
                  <c:v>Dorset</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14.8424623540105</c:v>
                </c:pt>
                <c:pt idx="1">
                  <c:v>15.287955734128399</c:v>
                </c:pt>
                <c:pt idx="2">
                  <c:v>21.778045881176169</c:v>
                </c:pt>
              </c:numCache>
            </c:numRef>
          </c:val>
        </c:ser>
        <c:marker val="1"/>
        <c:axId val="148950016"/>
        <c:axId val="148988672"/>
      </c:lineChart>
      <c:catAx>
        <c:axId val="148950016"/>
        <c:scaling>
          <c:orientation val="minMax"/>
        </c:scaling>
        <c:axPos val="b"/>
        <c:numFmt formatCode="General" sourceLinked="1"/>
        <c:tickLblPos val="nextTo"/>
        <c:crossAx val="148988672"/>
        <c:crosses val="autoZero"/>
        <c:auto val="1"/>
        <c:lblAlgn val="ctr"/>
        <c:lblOffset val="100"/>
      </c:catAx>
      <c:valAx>
        <c:axId val="14898867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8950016"/>
        <c:crosses val="autoZero"/>
        <c:crossBetween val="between"/>
      </c:valAx>
    </c:plotArea>
    <c:legend>
      <c:legendPos val="r"/>
      <c:txPr>
        <a:bodyPr/>
        <a:lstStyle/>
        <a:p>
          <a:pPr>
            <a:defRPr sz="800"/>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primary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11.959155448582164</c:v>
                </c:pt>
                <c:pt idx="1">
                  <c:v>12.231535100498649</c:v>
                </c:pt>
                <c:pt idx="2">
                  <c:v>12.62533076507386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8.4677434474910349</c:v>
                </c:pt>
                <c:pt idx="1">
                  <c:v>8.499658014718225</c:v>
                </c:pt>
                <c:pt idx="2">
                  <c:v>9.0622495355692738</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10.65493295566557</c:v>
                </c:pt>
                <c:pt idx="1">
                  <c:v>10.803491928869722</c:v>
                </c:pt>
                <c:pt idx="2">
                  <c:v>11.318980674139809</c:v>
                </c:pt>
              </c:numCache>
            </c:numRef>
          </c:val>
        </c:ser>
        <c:ser>
          <c:idx val="3"/>
          <c:order val="3"/>
          <c:tx>
            <c:strRef>
              <c:f>Sheet1!$E$383</c:f>
              <c:strCache>
                <c:ptCount val="1"/>
                <c:pt idx="0">
                  <c:v>Dorset</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13.470068951145899</c:v>
                </c:pt>
                <c:pt idx="1">
                  <c:v>13.359432131823331</c:v>
                </c:pt>
                <c:pt idx="2">
                  <c:v>14.165969044089914</c:v>
                </c:pt>
              </c:numCache>
            </c:numRef>
          </c:val>
        </c:ser>
        <c:marker val="1"/>
        <c:axId val="149899904"/>
        <c:axId val="149922176"/>
      </c:lineChart>
      <c:catAx>
        <c:axId val="149899904"/>
        <c:scaling>
          <c:orientation val="minMax"/>
        </c:scaling>
        <c:axPos val="b"/>
        <c:numFmt formatCode="General" sourceLinked="1"/>
        <c:tickLblPos val="nextTo"/>
        <c:crossAx val="149922176"/>
        <c:crosses val="autoZero"/>
        <c:auto val="1"/>
        <c:lblAlgn val="ctr"/>
        <c:lblOffset val="100"/>
      </c:catAx>
      <c:valAx>
        <c:axId val="14992217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899904"/>
        <c:crosses val="autoZero"/>
        <c:crossBetween val="between"/>
      </c:valAx>
    </c:plotArea>
    <c:legend>
      <c:legendPos val="r"/>
      <c:txPr>
        <a:bodyPr/>
        <a:lstStyle/>
        <a:p>
          <a:pPr>
            <a:defRPr sz="800"/>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primary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6.2533739811300313</c:v>
                </c:pt>
                <c:pt idx="1">
                  <c:v>6.114429844143908</c:v>
                </c:pt>
                <c:pt idx="2">
                  <c:v>6.0307663883143876</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9.5518741067584809</c:v>
                </c:pt>
                <c:pt idx="1">
                  <c:v>9.5603499031153003</c:v>
                </c:pt>
                <c:pt idx="2">
                  <c:v>9.5374824399669258</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7.64551344694853</c:v>
                </c:pt>
                <c:pt idx="1">
                  <c:v>7.5960055920634817</c:v>
                </c:pt>
                <c:pt idx="2">
                  <c:v>7.5383641114008535</c:v>
                </c:pt>
              </c:numCache>
            </c:numRef>
          </c:val>
        </c:ser>
        <c:ser>
          <c:idx val="3"/>
          <c:order val="3"/>
          <c:tx>
            <c:strRef>
              <c:f>Sheet1!$AL$383</c:f>
              <c:strCache>
                <c:ptCount val="1"/>
                <c:pt idx="0">
                  <c:v>Dorset</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5.4342824967825072</c:v>
                </c:pt>
                <c:pt idx="1">
                  <c:v>5.3136790621846162</c:v>
                </c:pt>
                <c:pt idx="2">
                  <c:v>5.3137178790466484</c:v>
                </c:pt>
              </c:numCache>
            </c:numRef>
          </c:val>
        </c:ser>
        <c:axId val="149957632"/>
        <c:axId val="149967616"/>
      </c:barChart>
      <c:catAx>
        <c:axId val="149957632"/>
        <c:scaling>
          <c:orientation val="minMax"/>
        </c:scaling>
        <c:axPos val="b"/>
        <c:numFmt formatCode="General" sourceLinked="1"/>
        <c:tickLblPos val="nextTo"/>
        <c:crossAx val="149967616"/>
        <c:crosses val="autoZero"/>
        <c:auto val="1"/>
        <c:lblAlgn val="ctr"/>
        <c:lblOffset val="100"/>
      </c:catAx>
      <c:valAx>
        <c:axId val="149967616"/>
        <c:scaling>
          <c:orientation val="minMax"/>
        </c:scaling>
        <c:axPos val="l"/>
        <c:majorGridlines/>
        <c:numFmt formatCode="General" sourceLinked="1"/>
        <c:tickLblPos val="nextTo"/>
        <c:txPr>
          <a:bodyPr/>
          <a:lstStyle/>
          <a:p>
            <a:pPr>
              <a:defRPr sz="800"/>
            </a:pPr>
            <a:endParaRPr lang="en-US"/>
          </a:p>
        </c:txPr>
        <c:crossAx val="149957632"/>
        <c:crosses val="autoZero"/>
        <c:crossBetween val="between"/>
      </c:valAx>
    </c:plotArea>
    <c:legend>
      <c:legendPos val="r"/>
      <c:txPr>
        <a:bodyPr/>
        <a:lstStyle/>
        <a:p>
          <a:pPr>
            <a:defRPr sz="800"/>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primary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10.008099180543477</c:v>
                </c:pt>
                <c:pt idx="1">
                  <c:v>10.063438658512572</c:v>
                </c:pt>
                <c:pt idx="2">
                  <c:v>10.078087179914831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8.3367145952070487</c:v>
                </c:pt>
                <c:pt idx="1">
                  <c:v>8.3640773726955633</c:v>
                </c:pt>
                <c:pt idx="2">
                  <c:v>8.3874958558821859</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9.352632818911184</c:v>
                </c:pt>
                <c:pt idx="1">
                  <c:v>9.3891173385010571</c:v>
                </c:pt>
                <c:pt idx="2">
                  <c:v>9.4250437487248835</c:v>
                </c:pt>
              </c:numCache>
            </c:numRef>
          </c:val>
        </c:ser>
        <c:ser>
          <c:idx val="3"/>
          <c:order val="3"/>
          <c:tx>
            <c:strRef>
              <c:f>Sheet1!$P$383</c:f>
              <c:strCache>
                <c:ptCount val="1"/>
                <c:pt idx="0">
                  <c:v>Dorset</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10.5717119367634</c:v>
                </c:pt>
                <c:pt idx="1">
                  <c:v>10.7224697237783</c:v>
                </c:pt>
                <c:pt idx="2">
                  <c:v>10.630395303637098</c:v>
                </c:pt>
              </c:numCache>
            </c:numRef>
          </c:val>
        </c:ser>
        <c:marker val="1"/>
        <c:axId val="149986304"/>
        <c:axId val="150012672"/>
      </c:lineChart>
      <c:catAx>
        <c:axId val="149986304"/>
        <c:scaling>
          <c:orientation val="minMax"/>
        </c:scaling>
        <c:axPos val="b"/>
        <c:numFmt formatCode="General" sourceLinked="1"/>
        <c:tickLblPos val="nextTo"/>
        <c:crossAx val="150012672"/>
        <c:crosses val="autoZero"/>
        <c:auto val="1"/>
        <c:lblAlgn val="ctr"/>
        <c:lblOffset val="100"/>
      </c:catAx>
      <c:valAx>
        <c:axId val="15001267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986304"/>
        <c:crosses val="autoZero"/>
        <c:crossBetween val="between"/>
      </c:valAx>
    </c:plotArea>
    <c:legend>
      <c:legendPos val="r"/>
      <c:txPr>
        <a:bodyPr/>
        <a:lstStyle/>
        <a:p>
          <a:pPr>
            <a:defRPr sz="800"/>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primary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6.8055950052313507</c:v>
                </c:pt>
                <c:pt idx="1">
                  <c:v>6.8329236595398886</c:v>
                </c:pt>
                <c:pt idx="2">
                  <c:v>6.83227814638796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9.9009269048039528</c:v>
                </c:pt>
                <c:pt idx="1">
                  <c:v>9.9114910663259703</c:v>
                </c:pt>
                <c:pt idx="2">
                  <c:v>9.9141696305794049</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8.3738850851547362</c:v>
                </c:pt>
                <c:pt idx="1">
                  <c:v>8.4120828955238949</c:v>
                </c:pt>
                <c:pt idx="2">
                  <c:v>8.4117072341378876</c:v>
                </c:pt>
              </c:numCache>
            </c:numRef>
          </c:val>
        </c:ser>
        <c:ser>
          <c:idx val="3"/>
          <c:order val="3"/>
          <c:tx>
            <c:strRef>
              <c:f>Sheet1!$AW$383</c:f>
              <c:strCache>
                <c:ptCount val="1"/>
                <c:pt idx="0">
                  <c:v>Dorset</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6.4443774131274099</c:v>
                </c:pt>
                <c:pt idx="1">
                  <c:v>6.4421628755531453</c:v>
                </c:pt>
                <c:pt idx="2">
                  <c:v>6.4853660430090834</c:v>
                </c:pt>
              </c:numCache>
            </c:numRef>
          </c:val>
        </c:ser>
        <c:axId val="150048128"/>
        <c:axId val="150058112"/>
      </c:barChart>
      <c:catAx>
        <c:axId val="150048128"/>
        <c:scaling>
          <c:orientation val="minMax"/>
        </c:scaling>
        <c:axPos val="b"/>
        <c:numFmt formatCode="General" sourceLinked="1"/>
        <c:tickLblPos val="nextTo"/>
        <c:crossAx val="150058112"/>
        <c:crosses val="autoZero"/>
        <c:auto val="1"/>
        <c:lblAlgn val="ctr"/>
        <c:lblOffset val="100"/>
      </c:catAx>
      <c:valAx>
        <c:axId val="150058112"/>
        <c:scaling>
          <c:orientation val="minMax"/>
        </c:scaling>
        <c:axPos val="l"/>
        <c:majorGridlines/>
        <c:numFmt formatCode="General" sourceLinked="1"/>
        <c:tickLblPos val="nextTo"/>
        <c:txPr>
          <a:bodyPr/>
          <a:lstStyle/>
          <a:p>
            <a:pPr>
              <a:defRPr sz="800"/>
            </a:pPr>
            <a:endParaRPr lang="en-US"/>
          </a:p>
        </c:txPr>
        <c:crossAx val="150048128"/>
        <c:crosses val="autoZero"/>
        <c:crossBetween val="between"/>
      </c:valAx>
    </c:plotArea>
    <c:legend>
      <c:legendPos val="r"/>
      <c:txPr>
        <a:bodyPr/>
        <a:lstStyle/>
        <a:p>
          <a:pPr>
            <a:defRPr sz="800"/>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primary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7.9270823324085526</c:v>
                </c:pt>
                <c:pt idx="1">
                  <c:v>7.8938299178992377</c:v>
                </c:pt>
                <c:pt idx="2">
                  <c:v>7.9866976976056376</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7.5185180577991453</c:v>
                </c:pt>
                <c:pt idx="1">
                  <c:v>7.3697076705738436</c:v>
                </c:pt>
                <c:pt idx="2">
                  <c:v>7.5696366766324967</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7.7953623882872822</c:v>
                </c:pt>
                <c:pt idx="1">
                  <c:v>7.7052661320040121</c:v>
                </c:pt>
                <c:pt idx="2">
                  <c:v>7.8477450698837945</c:v>
                </c:pt>
              </c:numCache>
            </c:numRef>
          </c:val>
        </c:ser>
        <c:ser>
          <c:idx val="3"/>
          <c:order val="3"/>
          <c:tx>
            <c:strRef>
              <c:f>Sheet1!$AA$383</c:f>
              <c:strCache>
                <c:ptCount val="1"/>
                <c:pt idx="0">
                  <c:v>Dorset</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8.392353637085753</c:v>
                </c:pt>
                <c:pt idx="1">
                  <c:v>8.3001721887371183</c:v>
                </c:pt>
                <c:pt idx="2">
                  <c:v>8.4465660411530408</c:v>
                </c:pt>
              </c:numCache>
            </c:numRef>
          </c:val>
        </c:ser>
        <c:marker val="1"/>
        <c:axId val="150084992"/>
        <c:axId val="150094976"/>
      </c:lineChart>
      <c:catAx>
        <c:axId val="150084992"/>
        <c:scaling>
          <c:orientation val="minMax"/>
        </c:scaling>
        <c:axPos val="b"/>
        <c:numFmt formatCode="General" sourceLinked="1"/>
        <c:tickLblPos val="nextTo"/>
        <c:crossAx val="150094976"/>
        <c:crosses val="autoZero"/>
        <c:auto val="1"/>
        <c:lblAlgn val="ctr"/>
        <c:lblOffset val="100"/>
      </c:catAx>
      <c:valAx>
        <c:axId val="15009497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084992"/>
        <c:crosses val="autoZero"/>
        <c:crossBetween val="between"/>
      </c:valAx>
    </c:plotArea>
    <c:legend>
      <c:legendPos val="r"/>
      <c:txPr>
        <a:bodyPr/>
        <a:lstStyle/>
        <a:p>
          <a:pPr>
            <a:defRPr sz="800"/>
          </a:pPr>
          <a:endParaRPr lang="en-US"/>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primary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9.9386241041571619</c:v>
                </c:pt>
                <c:pt idx="1">
                  <c:v>9.9657280764686575</c:v>
                </c:pt>
                <c:pt idx="2">
                  <c:v>9.9676223688536147</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9.9887680665962009</c:v>
                </c:pt>
                <c:pt idx="1">
                  <c:v>9.9961426622495608</c:v>
                </c:pt>
                <c:pt idx="2">
                  <c:v>9.9997324464403246</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9.9718154259874989</c:v>
                </c:pt>
                <c:pt idx="1">
                  <c:v>9.9875604217595182</c:v>
                </c:pt>
                <c:pt idx="2">
                  <c:v>9.9903791605861603</c:v>
                </c:pt>
              </c:numCache>
            </c:numRef>
          </c:val>
        </c:ser>
        <c:ser>
          <c:idx val="3"/>
          <c:order val="3"/>
          <c:tx>
            <c:strRef>
              <c:f>Sheet1!$BH$383</c:f>
              <c:strCache>
                <c:ptCount val="1"/>
                <c:pt idx="0">
                  <c:v>Dorset</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9.94546332046332</c:v>
                </c:pt>
                <c:pt idx="1">
                  <c:v>9.9595140128872242</c:v>
                </c:pt>
                <c:pt idx="2">
                  <c:v>9.9576119866470005</c:v>
                </c:pt>
              </c:numCache>
            </c:numRef>
          </c:val>
        </c:ser>
        <c:axId val="150130688"/>
        <c:axId val="150132224"/>
      </c:barChart>
      <c:catAx>
        <c:axId val="150130688"/>
        <c:scaling>
          <c:orientation val="minMax"/>
        </c:scaling>
        <c:axPos val="b"/>
        <c:numFmt formatCode="General" sourceLinked="1"/>
        <c:tickLblPos val="nextTo"/>
        <c:crossAx val="150132224"/>
        <c:crosses val="autoZero"/>
        <c:auto val="1"/>
        <c:lblAlgn val="ctr"/>
        <c:lblOffset val="100"/>
      </c:catAx>
      <c:valAx>
        <c:axId val="150132224"/>
        <c:scaling>
          <c:orientation val="minMax"/>
        </c:scaling>
        <c:axPos val="l"/>
        <c:majorGridlines/>
        <c:numFmt formatCode="General" sourceLinked="1"/>
        <c:tickLblPos val="nextTo"/>
        <c:txPr>
          <a:bodyPr/>
          <a:lstStyle/>
          <a:p>
            <a:pPr>
              <a:defRPr sz="800"/>
            </a:pPr>
            <a:endParaRPr lang="en-US"/>
          </a:p>
        </c:txPr>
        <c:crossAx val="150130688"/>
        <c:crosses val="autoZero"/>
        <c:crossBetween val="between"/>
      </c:valAx>
    </c:plotArea>
    <c:legend>
      <c:legendPos val="r"/>
      <c:txPr>
        <a:bodyPr/>
        <a:lstStyle/>
        <a:p>
          <a:pPr>
            <a:defRPr sz="800"/>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secondary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24.174836634054341</c:v>
                </c:pt>
                <c:pt idx="1">
                  <c:v>25.312282639861589</c:v>
                </c:pt>
                <c:pt idx="2">
                  <c:v>25.730778090743829</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15.538876914886078</c:v>
                </c:pt>
                <c:pt idx="1">
                  <c:v>15.639843742109278</c:v>
                </c:pt>
                <c:pt idx="2">
                  <c:v>16.094318555891093</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20.668440182120023</c:v>
                </c:pt>
                <c:pt idx="1">
                  <c:v>21.329836630833089</c:v>
                </c:pt>
                <c:pt idx="2">
                  <c:v>21.753599737874996</c:v>
                </c:pt>
              </c:numCache>
            </c:numRef>
          </c:val>
        </c:ser>
        <c:ser>
          <c:idx val="3"/>
          <c:order val="3"/>
          <c:tx>
            <c:strRef>
              <c:f>Sheet1!$E$383</c:f>
              <c:strCache>
                <c:ptCount val="1"/>
                <c:pt idx="0">
                  <c:v>Dorset</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23.182763325908802</c:v>
                </c:pt>
                <c:pt idx="1">
                  <c:v>24.144627404522687</c:v>
                </c:pt>
                <c:pt idx="2">
                  <c:v>24.041640296018599</c:v>
                </c:pt>
              </c:numCache>
            </c:numRef>
          </c:val>
        </c:ser>
        <c:marker val="1"/>
        <c:axId val="150196224"/>
        <c:axId val="150197760"/>
      </c:lineChart>
      <c:catAx>
        <c:axId val="150196224"/>
        <c:scaling>
          <c:orientation val="minMax"/>
        </c:scaling>
        <c:axPos val="b"/>
        <c:numFmt formatCode="General" sourceLinked="1"/>
        <c:tickLblPos val="nextTo"/>
        <c:crossAx val="150197760"/>
        <c:crosses val="autoZero"/>
        <c:auto val="1"/>
        <c:lblAlgn val="ctr"/>
        <c:lblOffset val="100"/>
      </c:catAx>
      <c:valAx>
        <c:axId val="15019776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196224"/>
        <c:crosses val="autoZero"/>
        <c:crossBetween val="between"/>
      </c:valAx>
    </c:plotArea>
    <c:legend>
      <c:legendPos val="r"/>
      <c:txPr>
        <a:bodyPr/>
        <a:lstStyle/>
        <a:p>
          <a:pPr>
            <a:defRPr sz="800"/>
          </a:pPr>
          <a:endParaRPr lang="en-US"/>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secondary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1.6006684327207201</c:v>
                </c:pt>
                <c:pt idx="1">
                  <c:v>1.5368395794742613</c:v>
                </c:pt>
                <c:pt idx="2">
                  <c:v>1.4707725933687963</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4.8357921075201391</c:v>
                </c:pt>
                <c:pt idx="1">
                  <c:v>4.8109883224800374</c:v>
                </c:pt>
                <c:pt idx="2">
                  <c:v>4.7296233088103365</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2.4208677351661065</c:v>
                </c:pt>
                <c:pt idx="1">
                  <c:v>2.3568921796965361</c:v>
                </c:pt>
                <c:pt idx="2">
                  <c:v>2.2944388206362847</c:v>
                </c:pt>
              </c:numCache>
            </c:numRef>
          </c:val>
        </c:ser>
        <c:ser>
          <c:idx val="3"/>
          <c:order val="3"/>
          <c:tx>
            <c:strRef>
              <c:f>Sheet1!$AL$383</c:f>
              <c:strCache>
                <c:ptCount val="1"/>
                <c:pt idx="0">
                  <c:v>Dorset</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1.8525725304584113</c:v>
                </c:pt>
                <c:pt idx="1">
                  <c:v>1.7699891461649786</c:v>
                </c:pt>
                <c:pt idx="2">
                  <c:v>1.77577785817656</c:v>
                </c:pt>
              </c:numCache>
            </c:numRef>
          </c:val>
        </c:ser>
        <c:axId val="150306816"/>
        <c:axId val="150308352"/>
      </c:barChart>
      <c:catAx>
        <c:axId val="150306816"/>
        <c:scaling>
          <c:orientation val="minMax"/>
        </c:scaling>
        <c:axPos val="b"/>
        <c:numFmt formatCode="General" sourceLinked="1"/>
        <c:tickLblPos val="nextTo"/>
        <c:crossAx val="150308352"/>
        <c:crosses val="autoZero"/>
        <c:auto val="1"/>
        <c:lblAlgn val="ctr"/>
        <c:lblOffset val="100"/>
      </c:catAx>
      <c:valAx>
        <c:axId val="150308352"/>
        <c:scaling>
          <c:orientation val="minMax"/>
        </c:scaling>
        <c:axPos val="l"/>
        <c:majorGridlines/>
        <c:numFmt formatCode="General" sourceLinked="1"/>
        <c:tickLblPos val="nextTo"/>
        <c:txPr>
          <a:bodyPr/>
          <a:lstStyle/>
          <a:p>
            <a:pPr>
              <a:defRPr sz="800"/>
            </a:pPr>
            <a:endParaRPr lang="en-US"/>
          </a:p>
        </c:txPr>
        <c:crossAx val="150306816"/>
        <c:crosses val="autoZero"/>
        <c:crossBetween val="between"/>
      </c:valAx>
    </c:plotArea>
    <c:legend>
      <c:legendPos val="r"/>
      <c:txPr>
        <a:bodyPr/>
        <a:lstStyle/>
        <a:p>
          <a:pPr>
            <a:defRPr sz="800"/>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GB"/>
  <c:chart>
    <c:title>
      <c:tx>
        <c:strRef>
          <c:f>Sheet1!$P$379</c:f>
          <c:strCache>
            <c:ptCount val="1"/>
            <c:pt idx="0">
              <c:v>Travel time to nearest secondary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20.137800775100601</c:v>
                </c:pt>
                <c:pt idx="1">
                  <c:v>20.250590842423712</c:v>
                </c:pt>
                <c:pt idx="2">
                  <c:v>20.306749429356401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12.028438735823578</c:v>
                </c:pt>
                <c:pt idx="1">
                  <c:v>12.060211740613749</c:v>
                </c:pt>
                <c:pt idx="2">
                  <c:v>12.109576369917825</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16.658742587302584</c:v>
                </c:pt>
                <c:pt idx="1">
                  <c:v>16.71884915261413</c:v>
                </c:pt>
                <c:pt idx="2">
                  <c:v>16.735591216180527</c:v>
                </c:pt>
              </c:numCache>
            </c:numRef>
          </c:val>
        </c:ser>
        <c:ser>
          <c:idx val="3"/>
          <c:order val="3"/>
          <c:tx>
            <c:strRef>
              <c:f>Sheet1!$P$383</c:f>
              <c:strCache>
                <c:ptCount val="1"/>
                <c:pt idx="0">
                  <c:v>Dorset</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18.293529051811589</c:v>
                </c:pt>
                <c:pt idx="1">
                  <c:v>18.414709559304278</c:v>
                </c:pt>
                <c:pt idx="2">
                  <c:v>18.24400658749137</c:v>
                </c:pt>
              </c:numCache>
            </c:numRef>
          </c:val>
        </c:ser>
        <c:marker val="1"/>
        <c:axId val="150212608"/>
        <c:axId val="150214144"/>
      </c:lineChart>
      <c:catAx>
        <c:axId val="150212608"/>
        <c:scaling>
          <c:orientation val="minMax"/>
        </c:scaling>
        <c:axPos val="b"/>
        <c:numFmt formatCode="General" sourceLinked="1"/>
        <c:tickLblPos val="nextTo"/>
        <c:crossAx val="150214144"/>
        <c:crosses val="autoZero"/>
        <c:auto val="1"/>
        <c:lblAlgn val="ctr"/>
        <c:lblOffset val="100"/>
      </c:catAx>
      <c:valAx>
        <c:axId val="15021414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212608"/>
        <c:crosses val="autoZero"/>
        <c:crossBetween val="between"/>
      </c:valAx>
    </c:plotArea>
    <c:legend>
      <c:legendPos val="r"/>
      <c:txPr>
        <a:bodyPr/>
        <a:lstStyle/>
        <a:p>
          <a:pPr>
            <a:defRPr sz="800"/>
          </a:pPr>
          <a:endParaRPr lang="en-US"/>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secondary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1.8299169525515044</c:v>
                </c:pt>
                <c:pt idx="1">
                  <c:v>1.8149113763046358</c:v>
                </c:pt>
                <c:pt idx="2">
                  <c:v>1.7733355792665322</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7.3636706806335095</c:v>
                </c:pt>
                <c:pt idx="1">
                  <c:v>7.390211639233633</c:v>
                </c:pt>
                <c:pt idx="2">
                  <c:v>7.38276925877644</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3.6041184397562027</c:v>
                </c:pt>
                <c:pt idx="1">
                  <c:v>3.6204928794080717</c:v>
                </c:pt>
                <c:pt idx="2">
                  <c:v>3.6077778422249009</c:v>
                </c:pt>
              </c:numCache>
            </c:numRef>
          </c:val>
        </c:ser>
        <c:ser>
          <c:idx val="3"/>
          <c:order val="3"/>
          <c:tx>
            <c:strRef>
              <c:f>Sheet1!$AW$383</c:f>
              <c:strCache>
                <c:ptCount val="1"/>
                <c:pt idx="0">
                  <c:v>Dorset</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2.6453676921728499</c:v>
                </c:pt>
                <c:pt idx="1">
                  <c:v>2.5926646164978275</c:v>
                </c:pt>
                <c:pt idx="2">
                  <c:v>2.7092981186685998</c:v>
                </c:pt>
              </c:numCache>
            </c:numRef>
          </c:val>
        </c:ser>
        <c:axId val="150249856"/>
        <c:axId val="150251392"/>
      </c:barChart>
      <c:catAx>
        <c:axId val="150249856"/>
        <c:scaling>
          <c:orientation val="minMax"/>
        </c:scaling>
        <c:axPos val="b"/>
        <c:numFmt formatCode="General" sourceLinked="1"/>
        <c:tickLblPos val="nextTo"/>
        <c:crossAx val="150251392"/>
        <c:crosses val="autoZero"/>
        <c:auto val="1"/>
        <c:lblAlgn val="ctr"/>
        <c:lblOffset val="100"/>
      </c:catAx>
      <c:valAx>
        <c:axId val="150251392"/>
        <c:scaling>
          <c:orientation val="minMax"/>
        </c:scaling>
        <c:axPos val="l"/>
        <c:majorGridlines/>
        <c:numFmt formatCode="General" sourceLinked="1"/>
        <c:tickLblPos val="nextTo"/>
        <c:txPr>
          <a:bodyPr/>
          <a:lstStyle/>
          <a:p>
            <a:pPr>
              <a:defRPr sz="800"/>
            </a:pPr>
            <a:endParaRPr lang="en-US"/>
          </a:p>
        </c:txPr>
        <c:crossAx val="150249856"/>
        <c:crosses val="autoZero"/>
        <c:crossBetween val="between"/>
      </c:valAx>
    </c:plotArea>
    <c:legend>
      <c:legendPos val="r"/>
      <c:txPr>
        <a:bodyPr/>
        <a:lstStyle/>
        <a:p>
          <a:pPr>
            <a:defRPr sz="8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employment centre with 100 to 499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Sheet1!$P$380</c:f>
              <c:strCache>
                <c:ptCount val="1"/>
                <c:pt idx="0">
                  <c:v>Predominantly Rural average</c:v>
                </c:pt>
              </c:strCache>
            </c:strRef>
          </c:tx>
          <c:spPr>
            <a:ln w="25400">
              <a:solidFill>
                <a:schemeClr val="bg1">
                  <a:lumMod val="6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13.125600654468762</c:v>
                </c:pt>
                <c:pt idx="1">
                  <c:v>13.155766003193007</c:v>
                </c:pt>
                <c:pt idx="2">
                  <c:v>13.276615831299004</c:v>
                </c:pt>
              </c:numCache>
            </c:numRef>
          </c:val>
        </c:ser>
        <c:ser>
          <c:idx val="2"/>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8.0901693775272214</c:v>
                </c:pt>
                <c:pt idx="1">
                  <c:v>8.0927940274966588</c:v>
                </c:pt>
                <c:pt idx="2">
                  <c:v>8.1750989266772667</c:v>
                </c:pt>
              </c:numCache>
            </c:numRef>
          </c:val>
        </c:ser>
        <c:ser>
          <c:idx val="3"/>
          <c:order val="2"/>
          <c:tx>
            <c:strRef>
              <c:f>Sheet1!$P$382</c:f>
              <c:strCache>
                <c:ptCount val="1"/>
                <c:pt idx="0">
                  <c:v>Shire County average</c:v>
                </c:pt>
              </c:strCache>
            </c:strRef>
          </c:tx>
          <c:spPr>
            <a:ln w="25400">
              <a:solidFill>
                <a:schemeClr val="accent1">
                  <a:lumMod val="40000"/>
                  <a:lumOff val="6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8.2515994104583008</c:v>
                </c:pt>
                <c:pt idx="1">
                  <c:v>10.835981242924744</c:v>
                </c:pt>
                <c:pt idx="2">
                  <c:v>10.926004412629124</c:v>
                </c:pt>
              </c:numCache>
            </c:numRef>
          </c:val>
        </c:ser>
        <c:ser>
          <c:idx val="4"/>
          <c:order val="3"/>
          <c:tx>
            <c:strRef>
              <c:f>Sheet1!$P$383</c:f>
              <c:strCache>
                <c:ptCount val="1"/>
                <c:pt idx="0">
                  <c:v>Dorset</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8.7214819542237496</c:v>
                </c:pt>
                <c:pt idx="1">
                  <c:v>12.1883290376419</c:v>
                </c:pt>
                <c:pt idx="2">
                  <c:v>12.247218200313679</c:v>
                </c:pt>
              </c:numCache>
            </c:numRef>
          </c:val>
        </c:ser>
        <c:marker val="1"/>
        <c:axId val="149012480"/>
        <c:axId val="149014016"/>
      </c:lineChart>
      <c:catAx>
        <c:axId val="149012480"/>
        <c:scaling>
          <c:orientation val="minMax"/>
        </c:scaling>
        <c:axPos val="b"/>
        <c:numFmt formatCode="General" sourceLinked="1"/>
        <c:tickLblPos val="nextTo"/>
        <c:crossAx val="149014016"/>
        <c:crosses val="autoZero"/>
        <c:auto val="1"/>
        <c:lblAlgn val="ctr"/>
        <c:lblOffset val="100"/>
      </c:catAx>
      <c:valAx>
        <c:axId val="14901401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012480"/>
        <c:crosses val="autoZero"/>
        <c:crossBetween val="between"/>
      </c:valAx>
    </c:plotArea>
    <c:legend>
      <c:legendPos val="r"/>
      <c:txPr>
        <a:bodyPr/>
        <a:lstStyle/>
        <a:p>
          <a:pPr>
            <a:defRPr sz="800"/>
          </a:pPr>
          <a:endParaRPr lang="en-US"/>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secondary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11.920815422693055</c:v>
                </c:pt>
                <c:pt idx="1">
                  <c:v>11.909715823450254</c:v>
                </c:pt>
                <c:pt idx="2">
                  <c:v>12.138327648761368</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9.6983422507829395</c:v>
                </c:pt>
                <c:pt idx="1">
                  <c:v>9.4552450451665848</c:v>
                </c:pt>
                <c:pt idx="2">
                  <c:v>9.8574808717876063</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11.033976448602576</c:v>
                </c:pt>
                <c:pt idx="1">
                  <c:v>10.924429137268676</c:v>
                </c:pt>
                <c:pt idx="2">
                  <c:v>11.187129694932418</c:v>
                </c:pt>
              </c:numCache>
            </c:numRef>
          </c:val>
        </c:ser>
        <c:ser>
          <c:idx val="3"/>
          <c:order val="3"/>
          <c:tx>
            <c:strRef>
              <c:f>Sheet1!$AA$383</c:f>
              <c:strCache>
                <c:ptCount val="1"/>
                <c:pt idx="0">
                  <c:v>Dorset</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11.745337216027011</c:v>
                </c:pt>
                <c:pt idx="1">
                  <c:v>11.558324595503899</c:v>
                </c:pt>
                <c:pt idx="2">
                  <c:v>11.736867154640398</c:v>
                </c:pt>
              </c:numCache>
            </c:numRef>
          </c:val>
        </c:ser>
        <c:marker val="1"/>
        <c:axId val="150352256"/>
        <c:axId val="150353792"/>
      </c:lineChart>
      <c:catAx>
        <c:axId val="150352256"/>
        <c:scaling>
          <c:orientation val="minMax"/>
        </c:scaling>
        <c:axPos val="b"/>
        <c:numFmt formatCode="General" sourceLinked="1"/>
        <c:tickLblPos val="nextTo"/>
        <c:crossAx val="150353792"/>
        <c:crosses val="autoZero"/>
        <c:auto val="1"/>
        <c:lblAlgn val="ctr"/>
        <c:lblOffset val="100"/>
      </c:catAx>
      <c:valAx>
        <c:axId val="15035379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352256"/>
        <c:crosses val="autoZero"/>
        <c:crossBetween val="between"/>
      </c:valAx>
    </c:plotArea>
    <c:legend>
      <c:legendPos val="r"/>
      <c:txPr>
        <a:bodyPr/>
        <a:lstStyle/>
        <a:p>
          <a:pPr>
            <a:defRPr sz="800"/>
          </a:pPr>
          <a:endParaRPr lang="en-US"/>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secondary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8.0207930675852506</c:v>
                </c:pt>
                <c:pt idx="1">
                  <c:v>7.7962739637851524</c:v>
                </c:pt>
                <c:pt idx="2">
                  <c:v>7.7493748545010979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9.9242574921271487</c:v>
                </c:pt>
                <c:pt idx="1">
                  <c:v>9.9580378789766524</c:v>
                </c:pt>
                <c:pt idx="2">
                  <c:v>9.933875675110631</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9.0105927466119073</c:v>
                </c:pt>
                <c:pt idx="1">
                  <c:v>8.9178848312723247</c:v>
                </c:pt>
                <c:pt idx="2">
                  <c:v>8.8797128986815306</c:v>
                </c:pt>
              </c:numCache>
            </c:numRef>
          </c:val>
        </c:ser>
        <c:ser>
          <c:idx val="3"/>
          <c:order val="3"/>
          <c:tx>
            <c:strRef>
              <c:f>Sheet1!$BH$383</c:f>
              <c:strCache>
                <c:ptCount val="1"/>
                <c:pt idx="0">
                  <c:v>Dorset</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7.72311333158033</c:v>
                </c:pt>
                <c:pt idx="1">
                  <c:v>7.7315032561505097</c:v>
                </c:pt>
                <c:pt idx="2">
                  <c:v>7.6318740955137514</c:v>
                </c:pt>
              </c:numCache>
            </c:numRef>
          </c:val>
        </c:ser>
        <c:axId val="150409984"/>
        <c:axId val="150411520"/>
      </c:barChart>
      <c:catAx>
        <c:axId val="150409984"/>
        <c:scaling>
          <c:orientation val="minMax"/>
        </c:scaling>
        <c:axPos val="b"/>
        <c:numFmt formatCode="General" sourceLinked="1"/>
        <c:tickLblPos val="nextTo"/>
        <c:crossAx val="150411520"/>
        <c:crosses val="autoZero"/>
        <c:auto val="1"/>
        <c:lblAlgn val="ctr"/>
        <c:lblOffset val="100"/>
      </c:catAx>
      <c:valAx>
        <c:axId val="150411520"/>
        <c:scaling>
          <c:orientation val="minMax"/>
        </c:scaling>
        <c:axPos val="l"/>
        <c:majorGridlines/>
        <c:numFmt formatCode="General" sourceLinked="1"/>
        <c:tickLblPos val="nextTo"/>
        <c:txPr>
          <a:bodyPr/>
          <a:lstStyle/>
          <a:p>
            <a:pPr>
              <a:defRPr sz="800"/>
            </a:pPr>
            <a:endParaRPr lang="en-US"/>
          </a:p>
        </c:txPr>
        <c:crossAx val="150409984"/>
        <c:crosses val="autoZero"/>
        <c:crossBetween val="between"/>
      </c:valAx>
    </c:plotArea>
    <c:legend>
      <c:legendPos val="r"/>
      <c:txPr>
        <a:bodyPr/>
        <a:lstStyle/>
        <a:p>
          <a:pPr>
            <a:defRPr sz="800"/>
          </a:pPr>
          <a:endParaRPr lang="en-US"/>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further education college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28.48513061160331</c:v>
                </c:pt>
                <c:pt idx="1">
                  <c:v>29.605235190971101</c:v>
                </c:pt>
                <c:pt idx="2">
                  <c:v>30.300154923731206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17.563927110159259</c:v>
                </c:pt>
                <c:pt idx="1">
                  <c:v>17.66418506351831</c:v>
                </c:pt>
                <c:pt idx="2">
                  <c:v>18.660684028767147</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23.758105701325622</c:v>
                </c:pt>
                <c:pt idx="1">
                  <c:v>24.399839270531952</c:v>
                </c:pt>
                <c:pt idx="2">
                  <c:v>25.290507515202989</c:v>
                </c:pt>
              </c:numCache>
            </c:numRef>
          </c:val>
        </c:ser>
        <c:ser>
          <c:idx val="3"/>
          <c:order val="3"/>
          <c:tx>
            <c:strRef>
              <c:f>Sheet1!$E$383</c:f>
              <c:strCache>
                <c:ptCount val="1"/>
                <c:pt idx="0">
                  <c:v>Dorset</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26.486503682243075</c:v>
                </c:pt>
                <c:pt idx="1">
                  <c:v>28.213107664419518</c:v>
                </c:pt>
                <c:pt idx="2">
                  <c:v>28.638025736116901</c:v>
                </c:pt>
              </c:numCache>
            </c:numRef>
          </c:val>
        </c:ser>
        <c:marker val="1"/>
        <c:axId val="150450944"/>
        <c:axId val="150452480"/>
      </c:lineChart>
      <c:catAx>
        <c:axId val="150450944"/>
        <c:scaling>
          <c:orientation val="minMax"/>
        </c:scaling>
        <c:axPos val="b"/>
        <c:numFmt formatCode="General" sourceLinked="1"/>
        <c:tickLblPos val="nextTo"/>
        <c:crossAx val="150452480"/>
        <c:crosses val="autoZero"/>
        <c:auto val="1"/>
        <c:lblAlgn val="ctr"/>
        <c:lblOffset val="100"/>
      </c:catAx>
      <c:valAx>
        <c:axId val="15045248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450944"/>
        <c:crosses val="autoZero"/>
        <c:crossBetween val="between"/>
      </c:valAx>
    </c:plotArea>
    <c:legend>
      <c:legendPos val="r"/>
      <c:txPr>
        <a:bodyPr/>
        <a:lstStyle/>
        <a:p>
          <a:pPr>
            <a:defRPr sz="800"/>
          </a:pPr>
          <a:endParaRPr lang="en-US"/>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further education colleges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1.2483917555971511</c:v>
                </c:pt>
                <c:pt idx="1">
                  <c:v>1.2112200818703358</c:v>
                </c:pt>
                <c:pt idx="2">
                  <c:v>1.1339868061820082</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4.2870666597036724</c:v>
                </c:pt>
                <c:pt idx="1">
                  <c:v>4.2331331942543882</c:v>
                </c:pt>
                <c:pt idx="2">
                  <c:v>3.878041084329265</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2.1339983882236049</c:v>
                </c:pt>
                <c:pt idx="1">
                  <c:v>2.0855223962996443</c:v>
                </c:pt>
                <c:pt idx="2">
                  <c:v>1.8995707974489773</c:v>
                </c:pt>
              </c:numCache>
            </c:numRef>
          </c:val>
        </c:ser>
        <c:ser>
          <c:idx val="3"/>
          <c:order val="3"/>
          <c:tx>
            <c:strRef>
              <c:f>Sheet1!$AL$383</c:f>
              <c:strCache>
                <c:ptCount val="1"/>
                <c:pt idx="0">
                  <c:v>Dorset</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1.2855186940494987</c:v>
                </c:pt>
                <c:pt idx="1">
                  <c:v>1.1528672767639601</c:v>
                </c:pt>
                <c:pt idx="2">
                  <c:v>1.0880489521849799</c:v>
                </c:pt>
              </c:numCache>
            </c:numRef>
          </c:val>
        </c:ser>
        <c:axId val="150492288"/>
        <c:axId val="150493824"/>
      </c:barChart>
      <c:catAx>
        <c:axId val="150492288"/>
        <c:scaling>
          <c:orientation val="minMax"/>
        </c:scaling>
        <c:axPos val="b"/>
        <c:numFmt formatCode="General" sourceLinked="1"/>
        <c:tickLblPos val="nextTo"/>
        <c:crossAx val="150493824"/>
        <c:crosses val="autoZero"/>
        <c:auto val="1"/>
        <c:lblAlgn val="ctr"/>
        <c:lblOffset val="100"/>
      </c:catAx>
      <c:valAx>
        <c:axId val="150493824"/>
        <c:scaling>
          <c:orientation val="minMax"/>
        </c:scaling>
        <c:axPos val="l"/>
        <c:majorGridlines/>
        <c:numFmt formatCode="General" sourceLinked="1"/>
        <c:tickLblPos val="nextTo"/>
        <c:txPr>
          <a:bodyPr/>
          <a:lstStyle/>
          <a:p>
            <a:pPr>
              <a:defRPr sz="800"/>
            </a:pPr>
            <a:endParaRPr lang="en-US"/>
          </a:p>
        </c:txPr>
        <c:crossAx val="150492288"/>
        <c:crosses val="autoZero"/>
        <c:crossBetween val="between"/>
      </c:valAx>
    </c:plotArea>
    <c:legend>
      <c:legendPos val="r"/>
      <c:txPr>
        <a:bodyPr/>
        <a:lstStyle/>
        <a:p>
          <a:pPr>
            <a:defRPr sz="800"/>
          </a:pPr>
          <a:endParaRPr lang="en-US"/>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further education college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25.856816482670524</c:v>
                </c:pt>
                <c:pt idx="1">
                  <c:v>25.682203436066853</c:v>
                </c:pt>
                <c:pt idx="2">
                  <c:v>26.118913988140598</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13.577634445950547</c:v>
                </c:pt>
                <c:pt idx="1">
                  <c:v>13.610846915481552</c:v>
                </c:pt>
                <c:pt idx="2">
                  <c:v>14.106319831583667</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20.139878874179015</c:v>
                </c:pt>
                <c:pt idx="1">
                  <c:v>20.082370970890349</c:v>
                </c:pt>
                <c:pt idx="2">
                  <c:v>20.536105437536584</c:v>
                </c:pt>
              </c:numCache>
            </c:numRef>
          </c:val>
        </c:ser>
        <c:ser>
          <c:idx val="3"/>
          <c:order val="3"/>
          <c:tx>
            <c:strRef>
              <c:f>Sheet1!$P$383</c:f>
              <c:strCache>
                <c:ptCount val="1"/>
                <c:pt idx="0">
                  <c:v>Dorset</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22.599080007966986</c:v>
                </c:pt>
                <c:pt idx="1">
                  <c:v>22.8280610815887</c:v>
                </c:pt>
                <c:pt idx="2">
                  <c:v>23.642401995915588</c:v>
                </c:pt>
              </c:numCache>
            </c:numRef>
          </c:val>
        </c:ser>
        <c:marker val="1"/>
        <c:axId val="150549632"/>
        <c:axId val="150551168"/>
      </c:lineChart>
      <c:catAx>
        <c:axId val="150549632"/>
        <c:scaling>
          <c:orientation val="minMax"/>
        </c:scaling>
        <c:axPos val="b"/>
        <c:numFmt formatCode="General" sourceLinked="1"/>
        <c:tickLblPos val="nextTo"/>
        <c:crossAx val="150551168"/>
        <c:crosses val="autoZero"/>
        <c:auto val="1"/>
        <c:lblAlgn val="ctr"/>
        <c:lblOffset val="100"/>
      </c:catAx>
      <c:valAx>
        <c:axId val="15055116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549632"/>
        <c:crosses val="autoZero"/>
        <c:crossBetween val="between"/>
      </c:valAx>
    </c:plotArea>
    <c:legend>
      <c:legendPos val="r"/>
      <c:txPr>
        <a:bodyPr/>
        <a:lstStyle/>
        <a:p>
          <a:pPr>
            <a:defRPr sz="800"/>
          </a:pPr>
          <a:endParaRPr lang="en-US"/>
        </a:p>
      </c:txP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further education colleges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1.399732073880916</c:v>
                </c:pt>
                <c:pt idx="1">
                  <c:v>1.382528951336494</c:v>
                </c:pt>
                <c:pt idx="2">
                  <c:v>1.3046671896034261</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6.324796329806424</c:v>
                </c:pt>
                <c:pt idx="1">
                  <c:v>6.3309634298953714</c:v>
                </c:pt>
                <c:pt idx="2">
                  <c:v>6.0153368354200767</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3.116537448539479</c:v>
                </c:pt>
                <c:pt idx="1">
                  <c:v>3.1247865102768686</c:v>
                </c:pt>
                <c:pt idx="2">
                  <c:v>2.8952646057278426</c:v>
                </c:pt>
              </c:numCache>
            </c:numRef>
          </c:val>
        </c:ser>
        <c:ser>
          <c:idx val="3"/>
          <c:order val="3"/>
          <c:tx>
            <c:strRef>
              <c:f>Sheet1!$AW$383</c:f>
              <c:strCache>
                <c:ptCount val="1"/>
                <c:pt idx="0">
                  <c:v>Dorset</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1.9228541337546101</c:v>
                </c:pt>
                <c:pt idx="1">
                  <c:v>1.8237937943358398</c:v>
                </c:pt>
                <c:pt idx="2">
                  <c:v>1.66312882438945</c:v>
                </c:pt>
              </c:numCache>
            </c:numRef>
          </c:val>
        </c:ser>
        <c:axId val="150590976"/>
        <c:axId val="150592512"/>
      </c:barChart>
      <c:catAx>
        <c:axId val="150590976"/>
        <c:scaling>
          <c:orientation val="minMax"/>
        </c:scaling>
        <c:axPos val="b"/>
        <c:numFmt formatCode="General" sourceLinked="1"/>
        <c:tickLblPos val="nextTo"/>
        <c:crossAx val="150592512"/>
        <c:crosses val="autoZero"/>
        <c:auto val="1"/>
        <c:lblAlgn val="ctr"/>
        <c:lblOffset val="100"/>
      </c:catAx>
      <c:valAx>
        <c:axId val="150592512"/>
        <c:scaling>
          <c:orientation val="minMax"/>
        </c:scaling>
        <c:axPos val="l"/>
        <c:majorGridlines/>
        <c:numFmt formatCode="General" sourceLinked="1"/>
        <c:tickLblPos val="nextTo"/>
        <c:txPr>
          <a:bodyPr/>
          <a:lstStyle/>
          <a:p>
            <a:pPr>
              <a:defRPr sz="800"/>
            </a:pPr>
            <a:endParaRPr lang="en-US"/>
          </a:p>
        </c:txPr>
        <c:crossAx val="150590976"/>
        <c:crosses val="autoZero"/>
        <c:crossBetween val="between"/>
      </c:valAx>
    </c:plotArea>
    <c:legend>
      <c:legendPos val="r"/>
      <c:txPr>
        <a:bodyPr/>
        <a:lstStyle/>
        <a:p>
          <a:pPr>
            <a:defRPr sz="800"/>
          </a:pPr>
          <a:endParaRPr lang="en-US"/>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further education college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13.740378949896888</c:v>
                </c:pt>
                <c:pt idx="1">
                  <c:v>13.73060419479131</c:v>
                </c:pt>
                <c:pt idx="2">
                  <c:v>14.147957111368399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10.405871096220094</c:v>
                </c:pt>
                <c:pt idx="1">
                  <c:v>10.138128211590052</c:v>
                </c:pt>
                <c:pt idx="2">
                  <c:v>10.902071617933165</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12.254055185374852</c:v>
                </c:pt>
                <c:pt idx="1">
                  <c:v>12.105023117230555</c:v>
                </c:pt>
                <c:pt idx="2">
                  <c:v>12.653016893791447</c:v>
                </c:pt>
              </c:numCache>
            </c:numRef>
          </c:val>
        </c:ser>
        <c:ser>
          <c:idx val="3"/>
          <c:order val="3"/>
          <c:tx>
            <c:strRef>
              <c:f>Sheet1!$AA$383</c:f>
              <c:strCache>
                <c:ptCount val="1"/>
                <c:pt idx="0">
                  <c:v>Dorset</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13.21825413166119</c:v>
                </c:pt>
                <c:pt idx="1">
                  <c:v>13.099318663290392</c:v>
                </c:pt>
                <c:pt idx="2">
                  <c:v>13.742108533685</c:v>
                </c:pt>
              </c:numCache>
            </c:numRef>
          </c:val>
        </c:ser>
        <c:marker val="1"/>
        <c:axId val="150636032"/>
        <c:axId val="150637568"/>
      </c:lineChart>
      <c:catAx>
        <c:axId val="150636032"/>
        <c:scaling>
          <c:orientation val="minMax"/>
        </c:scaling>
        <c:axPos val="b"/>
        <c:numFmt formatCode="General" sourceLinked="1"/>
        <c:tickLblPos val="nextTo"/>
        <c:crossAx val="150637568"/>
        <c:crosses val="autoZero"/>
        <c:auto val="1"/>
        <c:lblAlgn val="ctr"/>
        <c:lblOffset val="100"/>
      </c:catAx>
      <c:valAx>
        <c:axId val="15063756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636032"/>
        <c:crosses val="autoZero"/>
        <c:crossBetween val="between"/>
      </c:valAx>
    </c:plotArea>
    <c:legend>
      <c:legendPos val="r"/>
      <c:txPr>
        <a:bodyPr/>
        <a:lstStyle/>
        <a:p>
          <a:pPr>
            <a:defRPr sz="800"/>
          </a:pPr>
          <a:endParaRPr lang="en-US"/>
        </a:p>
      </c:txP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further education colleges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6.8427595339716714</c:v>
                </c:pt>
                <c:pt idx="1">
                  <c:v>6.4403684312977507</c:v>
                </c:pt>
                <c:pt idx="2">
                  <c:v>6.193041150199595</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9.6663199121347603</c:v>
                </c:pt>
                <c:pt idx="1">
                  <c:v>9.6683292219804979</c:v>
                </c:pt>
                <c:pt idx="2">
                  <c:v>9.5066260915587755</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8.196008106585591</c:v>
                </c:pt>
                <c:pt idx="1">
                  <c:v>7.9779323616375661</c:v>
                </c:pt>
                <c:pt idx="2">
                  <c:v>7.7074364200769665</c:v>
                </c:pt>
              </c:numCache>
            </c:numRef>
          </c:val>
        </c:ser>
        <c:ser>
          <c:idx val="3"/>
          <c:order val="3"/>
          <c:tx>
            <c:strRef>
              <c:f>Sheet1!$BH$383</c:f>
              <c:strCache>
                <c:ptCount val="1"/>
                <c:pt idx="0">
                  <c:v>Dorset</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6.1454976303317475</c:v>
                </c:pt>
                <c:pt idx="1">
                  <c:v>6.0654681323441846</c:v>
                </c:pt>
                <c:pt idx="2">
                  <c:v>5.56674067255104</c:v>
                </c:pt>
              </c:numCache>
            </c:numRef>
          </c:val>
        </c:ser>
        <c:axId val="150751488"/>
        <c:axId val="150773760"/>
      </c:barChart>
      <c:catAx>
        <c:axId val="150751488"/>
        <c:scaling>
          <c:orientation val="minMax"/>
        </c:scaling>
        <c:axPos val="b"/>
        <c:numFmt formatCode="General" sourceLinked="1"/>
        <c:tickLblPos val="nextTo"/>
        <c:crossAx val="150773760"/>
        <c:crosses val="autoZero"/>
        <c:auto val="1"/>
        <c:lblAlgn val="ctr"/>
        <c:lblOffset val="100"/>
      </c:catAx>
      <c:valAx>
        <c:axId val="150773760"/>
        <c:scaling>
          <c:orientation val="minMax"/>
        </c:scaling>
        <c:axPos val="l"/>
        <c:majorGridlines/>
        <c:numFmt formatCode="General" sourceLinked="1"/>
        <c:tickLblPos val="nextTo"/>
        <c:txPr>
          <a:bodyPr/>
          <a:lstStyle/>
          <a:p>
            <a:pPr>
              <a:defRPr sz="800"/>
            </a:pPr>
            <a:endParaRPr lang="en-US"/>
          </a:p>
        </c:txPr>
        <c:crossAx val="150751488"/>
        <c:crosses val="autoZero"/>
        <c:crossBetween val="between"/>
      </c:valAx>
    </c:plotArea>
    <c:legend>
      <c:legendPos val="r"/>
      <c:txPr>
        <a:bodyPr/>
        <a:lstStyle/>
        <a:p>
          <a:pPr>
            <a:defRPr sz="800"/>
          </a:pPr>
          <a:endParaRPr lang="en-US"/>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GP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16.04580775309589</c:v>
                </c:pt>
                <c:pt idx="1">
                  <c:v>16.466500173897643</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9.4531028921148028</c:v>
                </c:pt>
                <c:pt idx="1">
                  <c:v>9.6702875926913556</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13.47409357824114</c:v>
                </c:pt>
                <c:pt idx="1">
                  <c:v>13.785220956827478</c:v>
                </c:pt>
              </c:numCache>
            </c:numRef>
          </c:val>
        </c:ser>
        <c:ser>
          <c:idx val="3"/>
          <c:order val="3"/>
          <c:tx>
            <c:strRef>
              <c:f>Sheet1!$E$383</c:f>
              <c:strCache>
                <c:ptCount val="1"/>
                <c:pt idx="0">
                  <c:v>Dorset</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14.083366210249409</c:v>
                </c:pt>
                <c:pt idx="1">
                  <c:v>14.350216958976509</c:v>
                </c:pt>
              </c:numCache>
            </c:numRef>
          </c:val>
        </c:ser>
        <c:marker val="1"/>
        <c:axId val="150796544"/>
        <c:axId val="150675456"/>
      </c:lineChart>
      <c:catAx>
        <c:axId val="150796544"/>
        <c:scaling>
          <c:orientation val="minMax"/>
        </c:scaling>
        <c:axPos val="b"/>
        <c:numFmt formatCode="General" sourceLinked="1"/>
        <c:tickLblPos val="nextTo"/>
        <c:crossAx val="150675456"/>
        <c:crosses val="autoZero"/>
        <c:auto val="1"/>
        <c:lblAlgn val="ctr"/>
        <c:lblOffset val="100"/>
      </c:catAx>
      <c:valAx>
        <c:axId val="15067545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796544"/>
        <c:crosses val="autoZero"/>
        <c:crossBetween val="between"/>
      </c:valAx>
    </c:plotArea>
    <c:legend>
      <c:legendPos val="r"/>
      <c:txPr>
        <a:bodyPr/>
        <a:lstStyle/>
        <a:p>
          <a:pPr>
            <a:defRPr sz="800"/>
          </a:pPr>
          <a:endParaRPr lang="en-US"/>
        </a:p>
      </c:txP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GPs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4.0971148882304931</c:v>
                </c:pt>
                <c:pt idx="1">
                  <c:v>4.4173079784576625</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8.9067336346921397</c:v>
                </c:pt>
                <c:pt idx="1">
                  <c:v>9.1375224163466378</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6.0328120366541036</c:v>
                </c:pt>
                <c:pt idx="1">
                  <c:v>6.3950588067478771</c:v>
                </c:pt>
              </c:numCache>
            </c:numRef>
          </c:val>
        </c:ser>
        <c:ser>
          <c:idx val="3"/>
          <c:order val="3"/>
          <c:tx>
            <c:strRef>
              <c:f>Sheet1!$AL$383</c:f>
              <c:strCache>
                <c:ptCount val="1"/>
                <c:pt idx="0">
                  <c:v>Dorset</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4.8655260072537549</c:v>
                </c:pt>
                <c:pt idx="1">
                  <c:v>5.0771002270515675</c:v>
                </c:pt>
              </c:numCache>
            </c:numRef>
          </c:val>
        </c:ser>
        <c:axId val="150706816"/>
        <c:axId val="150716800"/>
      </c:barChart>
      <c:catAx>
        <c:axId val="150706816"/>
        <c:scaling>
          <c:orientation val="minMax"/>
        </c:scaling>
        <c:axPos val="b"/>
        <c:numFmt formatCode="General" sourceLinked="1"/>
        <c:tickLblPos val="nextTo"/>
        <c:crossAx val="150716800"/>
        <c:crosses val="autoZero"/>
        <c:auto val="1"/>
        <c:lblAlgn val="ctr"/>
        <c:lblOffset val="100"/>
      </c:catAx>
      <c:valAx>
        <c:axId val="150716800"/>
        <c:scaling>
          <c:orientation val="minMax"/>
        </c:scaling>
        <c:axPos val="l"/>
        <c:majorGridlines/>
        <c:numFmt formatCode="General" sourceLinked="1"/>
        <c:tickLblPos val="nextTo"/>
        <c:txPr>
          <a:bodyPr/>
          <a:lstStyle/>
          <a:p>
            <a:pPr>
              <a:defRPr sz="800"/>
            </a:pPr>
            <a:endParaRPr lang="en-US"/>
          </a:p>
        </c:txPr>
        <c:crossAx val="150706816"/>
        <c:crosses val="autoZero"/>
        <c:crossBetween val="between"/>
      </c:valAx>
    </c:plotArea>
    <c:legend>
      <c:legendPos val="r"/>
      <c:txPr>
        <a:bodyPr/>
        <a:lstStyle/>
        <a:p>
          <a:pPr>
            <a:defRPr sz="80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Sheet1!$AB$379</c:f>
          <c:strCache>
            <c:ptCount val="1"/>
            <c:pt idx="0">
              <c:v>Travel time to nearest employment centre with 100 to 499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Sheet1!$AB$380</c:f>
              <c:strCache>
                <c:ptCount val="1"/>
                <c:pt idx="0">
                  <c:v>Predominantly Rural average</c:v>
                </c:pt>
              </c:strCache>
            </c:strRef>
          </c:tx>
          <c:spPr>
            <a:ln w="25400">
              <a:solidFill>
                <a:schemeClr val="bg1">
                  <a:lumMod val="65000"/>
                </a:schemeClr>
              </a:solidFill>
            </a:ln>
          </c:spPr>
          <c:marker>
            <c:symbol val="none"/>
          </c:marker>
          <c:cat>
            <c:numRef>
              <c:f>Sheet1!$AC$379:$AE$379</c:f>
              <c:numCache>
                <c:formatCode>General</c:formatCode>
                <c:ptCount val="3"/>
                <c:pt idx="0">
                  <c:v>2014</c:v>
                </c:pt>
                <c:pt idx="1">
                  <c:v>2015</c:v>
                </c:pt>
                <c:pt idx="2">
                  <c:v>2016</c:v>
                </c:pt>
              </c:numCache>
            </c:numRef>
          </c:cat>
          <c:val>
            <c:numRef>
              <c:f>Sheet1!$AC$380:$AE$380</c:f>
              <c:numCache>
                <c:formatCode>General</c:formatCode>
                <c:ptCount val="3"/>
                <c:pt idx="0">
                  <c:v>9.1411659764747473</c:v>
                </c:pt>
                <c:pt idx="1">
                  <c:v>9.0996803057103026</c:v>
                </c:pt>
                <c:pt idx="2">
                  <c:v>9.2291327650927109</c:v>
                </c:pt>
              </c:numCache>
            </c:numRef>
          </c:val>
        </c:ser>
        <c:ser>
          <c:idx val="2"/>
          <c:order val="1"/>
          <c:tx>
            <c:strRef>
              <c:f>Sheet1!$AB$381</c:f>
              <c:strCache>
                <c:ptCount val="1"/>
                <c:pt idx="0">
                  <c:v>Predominantly Urban average</c:v>
                </c:pt>
              </c:strCache>
            </c:strRef>
          </c:tx>
          <c:spPr>
            <a:ln w="25400">
              <a:solidFill>
                <a:schemeClr val="accent6">
                  <a:lumMod val="75000"/>
                </a:schemeClr>
              </a:solidFill>
              <a:prstDash val="sysDash"/>
            </a:ln>
          </c:spPr>
          <c:marker>
            <c:symbol val="none"/>
          </c:marker>
          <c:cat>
            <c:numRef>
              <c:f>Sheet1!$AC$379:$AE$379</c:f>
              <c:numCache>
                <c:formatCode>General</c:formatCode>
                <c:ptCount val="3"/>
                <c:pt idx="0">
                  <c:v>2014</c:v>
                </c:pt>
                <c:pt idx="1">
                  <c:v>2015</c:v>
                </c:pt>
                <c:pt idx="2">
                  <c:v>2016</c:v>
                </c:pt>
              </c:numCache>
            </c:numRef>
          </c:cat>
          <c:val>
            <c:numRef>
              <c:f>Sheet1!$AC$381:$AE$381</c:f>
              <c:numCache>
                <c:formatCode>General</c:formatCode>
                <c:ptCount val="3"/>
                <c:pt idx="0">
                  <c:v>7.2347379951063724</c:v>
                </c:pt>
                <c:pt idx="1">
                  <c:v>7.1007334154115336</c:v>
                </c:pt>
                <c:pt idx="2">
                  <c:v>7.3183307355858895</c:v>
                </c:pt>
              </c:numCache>
            </c:numRef>
          </c:val>
        </c:ser>
        <c:ser>
          <c:idx val="3"/>
          <c:order val="2"/>
          <c:tx>
            <c:strRef>
              <c:f>Sheet1!$AB$382</c:f>
              <c:strCache>
                <c:ptCount val="1"/>
                <c:pt idx="0">
                  <c:v>Shire County average</c:v>
                </c:pt>
              </c:strCache>
            </c:strRef>
          </c:tx>
          <c:spPr>
            <a:ln w="25400">
              <a:solidFill>
                <a:schemeClr val="accent1">
                  <a:lumMod val="40000"/>
                  <a:lumOff val="60000"/>
                </a:schemeClr>
              </a:solidFill>
              <a:prstDash val="sysDot"/>
            </a:ln>
          </c:spPr>
          <c:marker>
            <c:symbol val="none"/>
          </c:marker>
          <c:cat>
            <c:numRef>
              <c:f>Sheet1!$AC$379:$AE$379</c:f>
              <c:numCache>
                <c:formatCode>General</c:formatCode>
                <c:ptCount val="3"/>
                <c:pt idx="0">
                  <c:v>2014</c:v>
                </c:pt>
                <c:pt idx="1">
                  <c:v>2015</c:v>
                </c:pt>
                <c:pt idx="2">
                  <c:v>2016</c:v>
                </c:pt>
              </c:numCache>
            </c:numRef>
          </c:cat>
          <c:val>
            <c:numRef>
              <c:f>Sheet1!$AC$382:$AE$382</c:f>
              <c:numCache>
                <c:formatCode>General</c:formatCode>
                <c:ptCount val="3"/>
                <c:pt idx="0">
                  <c:v>8.2515994104583008</c:v>
                </c:pt>
                <c:pt idx="1">
                  <c:v>8.1940483743192676</c:v>
                </c:pt>
                <c:pt idx="2">
                  <c:v>8.3449334893358404</c:v>
                </c:pt>
              </c:numCache>
            </c:numRef>
          </c:val>
        </c:ser>
        <c:ser>
          <c:idx val="4"/>
          <c:order val="3"/>
          <c:tx>
            <c:strRef>
              <c:f>Sheet1!$AB$383</c:f>
              <c:strCache>
                <c:ptCount val="1"/>
                <c:pt idx="0">
                  <c:v>Dorset</c:v>
                </c:pt>
              </c:strCache>
            </c:strRef>
          </c:tx>
          <c:spPr>
            <a:ln w="25400">
              <a:solidFill>
                <a:schemeClr val="tx1"/>
              </a:solidFill>
            </a:ln>
          </c:spPr>
          <c:marker>
            <c:symbol val="none"/>
          </c:marker>
          <c:cat>
            <c:numRef>
              <c:f>Sheet1!$AC$379:$AE$379</c:f>
              <c:numCache>
                <c:formatCode>General</c:formatCode>
                <c:ptCount val="3"/>
                <c:pt idx="0">
                  <c:v>2014</c:v>
                </c:pt>
                <c:pt idx="1">
                  <c:v>2015</c:v>
                </c:pt>
                <c:pt idx="2">
                  <c:v>2016</c:v>
                </c:pt>
              </c:numCache>
            </c:numRef>
          </c:cat>
          <c:val>
            <c:numRef>
              <c:f>Sheet1!$AC$383:$AE$383</c:f>
              <c:numCache>
                <c:formatCode>General</c:formatCode>
                <c:ptCount val="3"/>
                <c:pt idx="0">
                  <c:v>8.7214819542237496</c:v>
                </c:pt>
                <c:pt idx="1">
                  <c:v>8.7302800385951187</c:v>
                </c:pt>
                <c:pt idx="2">
                  <c:v>8.8108647497523105</c:v>
                </c:pt>
              </c:numCache>
            </c:numRef>
          </c:val>
        </c:ser>
        <c:marker val="1"/>
        <c:axId val="120820096"/>
        <c:axId val="120821632"/>
      </c:lineChart>
      <c:catAx>
        <c:axId val="120820096"/>
        <c:scaling>
          <c:orientation val="minMax"/>
        </c:scaling>
        <c:axPos val="b"/>
        <c:numFmt formatCode="General" sourceLinked="1"/>
        <c:tickLblPos val="nextTo"/>
        <c:crossAx val="120821632"/>
        <c:crosses val="autoZero"/>
        <c:auto val="1"/>
        <c:lblAlgn val="ctr"/>
        <c:lblOffset val="100"/>
      </c:catAx>
      <c:valAx>
        <c:axId val="120821632"/>
        <c:scaling>
          <c:orientation val="minMax"/>
        </c:scaling>
        <c:axPos val="l"/>
        <c:majorGridlines/>
        <c:title>
          <c:tx>
            <c:strRef>
              <c:f>Sheet1!$AB$384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20820096"/>
        <c:crosses val="autoZero"/>
        <c:crossBetween val="between"/>
      </c:valAx>
    </c:plotArea>
    <c:legend>
      <c:legendPos val="r"/>
      <c:txPr>
        <a:bodyPr/>
        <a:lstStyle/>
        <a:p>
          <a:pPr>
            <a:defRPr sz="800"/>
          </a:pPr>
          <a:endParaRPr lang="en-US"/>
        </a:p>
      </c:txPr>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GP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12.589940856136282</c:v>
                </c:pt>
                <c:pt idx="1">
                  <c:v>12.860578278594355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8.3995536618610025</c:v>
                </c:pt>
                <c:pt idx="1">
                  <c:v>8.8403511598050333</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10.83052031202285</c:v>
                </c:pt>
                <c:pt idx="1">
                  <c:v>11.184853884853201</c:v>
                </c:pt>
              </c:numCache>
            </c:numRef>
          </c:val>
        </c:ser>
        <c:ser>
          <c:idx val="3"/>
          <c:order val="3"/>
          <c:tx>
            <c:strRef>
              <c:f>Sheet1!$P$383</c:f>
              <c:strCache>
                <c:ptCount val="1"/>
                <c:pt idx="0">
                  <c:v>Dorset</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10.84160145517019</c:v>
                </c:pt>
                <c:pt idx="1">
                  <c:v>11.3541136987767</c:v>
                </c:pt>
              </c:numCache>
            </c:numRef>
          </c:val>
        </c:ser>
        <c:marker val="1"/>
        <c:axId val="150878848"/>
        <c:axId val="150884736"/>
      </c:lineChart>
      <c:catAx>
        <c:axId val="150878848"/>
        <c:scaling>
          <c:orientation val="minMax"/>
        </c:scaling>
        <c:axPos val="b"/>
        <c:numFmt formatCode="General" sourceLinked="1"/>
        <c:tickLblPos val="nextTo"/>
        <c:crossAx val="150884736"/>
        <c:crosses val="autoZero"/>
        <c:auto val="1"/>
        <c:lblAlgn val="ctr"/>
        <c:lblOffset val="100"/>
      </c:catAx>
      <c:valAx>
        <c:axId val="15088473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878848"/>
        <c:crosses val="autoZero"/>
        <c:crossBetween val="between"/>
      </c:valAx>
    </c:plotArea>
    <c:legend>
      <c:legendPos val="r"/>
      <c:txPr>
        <a:bodyPr/>
        <a:lstStyle/>
        <a:p>
          <a:pPr>
            <a:defRPr sz="800"/>
          </a:pPr>
          <a:endParaRPr lang="en-US"/>
        </a:p>
      </c:txP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GPs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3.8716519768247979</c:v>
                </c:pt>
                <c:pt idx="1">
                  <c:v>4.3589576312148619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9.5402787050042619</c:v>
                </c:pt>
                <c:pt idx="1">
                  <c:v>9.6327263841582624</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6.4827381505554396</c:v>
                </c:pt>
                <c:pt idx="1">
                  <c:v>6.8463507883183299</c:v>
                </c:pt>
              </c:numCache>
            </c:numRef>
          </c:val>
        </c:ser>
        <c:ser>
          <c:idx val="3"/>
          <c:order val="3"/>
          <c:tx>
            <c:strRef>
              <c:f>Sheet1!$AW$383</c:f>
              <c:strCache>
                <c:ptCount val="1"/>
                <c:pt idx="0">
                  <c:v>Dorset</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5.3333990773917099</c:v>
                </c:pt>
                <c:pt idx="1">
                  <c:v>5.5351821818575004</c:v>
                </c:pt>
              </c:numCache>
            </c:numRef>
          </c:val>
        </c:ser>
        <c:axId val="150924288"/>
        <c:axId val="150811392"/>
      </c:barChart>
      <c:catAx>
        <c:axId val="150924288"/>
        <c:scaling>
          <c:orientation val="minMax"/>
        </c:scaling>
        <c:axPos val="b"/>
        <c:numFmt formatCode="General" sourceLinked="1"/>
        <c:tickLblPos val="nextTo"/>
        <c:crossAx val="150811392"/>
        <c:crosses val="autoZero"/>
        <c:auto val="1"/>
        <c:lblAlgn val="ctr"/>
        <c:lblOffset val="100"/>
      </c:catAx>
      <c:valAx>
        <c:axId val="150811392"/>
        <c:scaling>
          <c:orientation val="minMax"/>
        </c:scaling>
        <c:axPos val="l"/>
        <c:majorGridlines/>
        <c:numFmt formatCode="General" sourceLinked="1"/>
        <c:tickLblPos val="nextTo"/>
        <c:txPr>
          <a:bodyPr/>
          <a:lstStyle/>
          <a:p>
            <a:pPr>
              <a:defRPr sz="800"/>
            </a:pPr>
            <a:endParaRPr lang="en-US"/>
          </a:p>
        </c:txPr>
        <c:crossAx val="150924288"/>
        <c:crosses val="autoZero"/>
        <c:crossBetween val="between"/>
      </c:valAx>
    </c:plotArea>
    <c:legend>
      <c:legendPos val="r"/>
      <c:txPr>
        <a:bodyPr/>
        <a:lstStyle/>
        <a:p>
          <a:pPr>
            <a:defRPr sz="800"/>
          </a:pPr>
          <a:endParaRPr lang="en-US"/>
        </a:p>
      </c:txP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GP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8.9894970042496354</c:v>
                </c:pt>
                <c:pt idx="1">
                  <c:v>8.8162809128798205</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7.6788019024738814</c:v>
                </c:pt>
                <c:pt idx="1">
                  <c:v>7.4908953976403012</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8.4718732761398456</c:v>
                </c:pt>
                <c:pt idx="1">
                  <c:v>8.3117935732510837</c:v>
                </c:pt>
              </c:numCache>
            </c:numRef>
          </c:val>
        </c:ser>
        <c:ser>
          <c:idx val="3"/>
          <c:order val="3"/>
          <c:tx>
            <c:strRef>
              <c:f>Sheet1!$AA$383</c:f>
              <c:strCache>
                <c:ptCount val="1"/>
                <c:pt idx="0">
                  <c:v>Dorset</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8.53287353008397</c:v>
                </c:pt>
                <c:pt idx="1">
                  <c:v>8.4363627328601716</c:v>
                </c:pt>
              </c:numCache>
            </c:numRef>
          </c:val>
        </c:ser>
        <c:marker val="1"/>
        <c:axId val="150842368"/>
        <c:axId val="150848256"/>
      </c:lineChart>
      <c:catAx>
        <c:axId val="150842368"/>
        <c:scaling>
          <c:orientation val="minMax"/>
        </c:scaling>
        <c:axPos val="b"/>
        <c:numFmt formatCode="General" sourceLinked="1"/>
        <c:tickLblPos val="nextTo"/>
        <c:crossAx val="150848256"/>
        <c:crosses val="autoZero"/>
        <c:auto val="1"/>
        <c:lblAlgn val="ctr"/>
        <c:lblOffset val="100"/>
      </c:catAx>
      <c:valAx>
        <c:axId val="15084825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842368"/>
        <c:crosses val="autoZero"/>
        <c:crossBetween val="between"/>
      </c:valAx>
    </c:plotArea>
    <c:legend>
      <c:legendPos val="r"/>
      <c:txPr>
        <a:bodyPr/>
        <a:lstStyle/>
        <a:p>
          <a:pPr>
            <a:defRPr sz="800"/>
          </a:pPr>
          <a:endParaRPr lang="en-US"/>
        </a:p>
      </c:txPr>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GPs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9.7107169334079568</c:v>
                </c:pt>
                <c:pt idx="1">
                  <c:v>9.7568102408964279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9.9756998159148988</c:v>
                </c:pt>
                <c:pt idx="1">
                  <c:v>9.9958459569313867</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9.8812183969095457</c:v>
                </c:pt>
                <c:pt idx="1">
                  <c:v>9.9151545806046908</c:v>
                </c:pt>
              </c:numCache>
            </c:numRef>
          </c:val>
        </c:ser>
        <c:ser>
          <c:idx val="3"/>
          <c:order val="3"/>
          <c:tx>
            <c:strRef>
              <c:f>Sheet1!$BH$383</c:f>
              <c:strCache>
                <c:ptCount val="1"/>
                <c:pt idx="0">
                  <c:v>Dorset</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9.7677591137700901</c:v>
                </c:pt>
                <c:pt idx="1">
                  <c:v>9.7449886474213319</c:v>
                </c:pt>
              </c:numCache>
            </c:numRef>
          </c:val>
        </c:ser>
        <c:axId val="150953344"/>
        <c:axId val="150959232"/>
      </c:barChart>
      <c:catAx>
        <c:axId val="150953344"/>
        <c:scaling>
          <c:orientation val="minMax"/>
        </c:scaling>
        <c:axPos val="b"/>
        <c:numFmt formatCode="General" sourceLinked="1"/>
        <c:tickLblPos val="nextTo"/>
        <c:crossAx val="150959232"/>
        <c:crosses val="autoZero"/>
        <c:auto val="1"/>
        <c:lblAlgn val="ctr"/>
        <c:lblOffset val="100"/>
      </c:catAx>
      <c:valAx>
        <c:axId val="150959232"/>
        <c:scaling>
          <c:orientation val="minMax"/>
        </c:scaling>
        <c:axPos val="l"/>
        <c:majorGridlines/>
        <c:numFmt formatCode="General" sourceLinked="1"/>
        <c:tickLblPos val="nextTo"/>
        <c:txPr>
          <a:bodyPr/>
          <a:lstStyle/>
          <a:p>
            <a:pPr>
              <a:defRPr sz="800"/>
            </a:pPr>
            <a:endParaRPr lang="en-US"/>
          </a:p>
        </c:txPr>
        <c:crossAx val="150953344"/>
        <c:crosses val="autoZero"/>
        <c:crossBetween val="between"/>
      </c:valAx>
    </c:plotArea>
    <c:legend>
      <c:legendPos val="r"/>
      <c:txPr>
        <a:bodyPr/>
        <a:lstStyle/>
        <a:p>
          <a:pPr>
            <a:defRPr sz="800"/>
          </a:pPr>
          <a:endParaRPr lang="en-US"/>
        </a:p>
      </c:txPr>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hospital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53.412519562928551</c:v>
                </c:pt>
                <c:pt idx="1">
                  <c:v>57.148387670283334</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31.656542651292806</c:v>
                </c:pt>
                <c:pt idx="1">
                  <c:v>33.283915632687012</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43.521194548343246</c:v>
                </c:pt>
                <c:pt idx="1">
                  <c:v>46.039226916145502</c:v>
                </c:pt>
              </c:numCache>
            </c:numRef>
          </c:val>
        </c:ser>
        <c:ser>
          <c:idx val="3"/>
          <c:order val="3"/>
          <c:tx>
            <c:strRef>
              <c:f>Sheet1!$E$383</c:f>
              <c:strCache>
                <c:ptCount val="1"/>
                <c:pt idx="0">
                  <c:v>Dorset</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49.722322331454571</c:v>
                </c:pt>
                <c:pt idx="1">
                  <c:v>51.764309324081971</c:v>
                </c:pt>
              </c:numCache>
            </c:numRef>
          </c:val>
        </c:ser>
        <c:marker val="1"/>
        <c:axId val="151003136"/>
        <c:axId val="151004672"/>
      </c:lineChart>
      <c:catAx>
        <c:axId val="151003136"/>
        <c:scaling>
          <c:orientation val="minMax"/>
        </c:scaling>
        <c:axPos val="b"/>
        <c:numFmt formatCode="General" sourceLinked="1"/>
        <c:tickLblPos val="nextTo"/>
        <c:crossAx val="151004672"/>
        <c:crosses val="autoZero"/>
        <c:auto val="1"/>
        <c:lblAlgn val="ctr"/>
        <c:lblOffset val="100"/>
      </c:catAx>
      <c:valAx>
        <c:axId val="15100467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003136"/>
        <c:crosses val="autoZero"/>
        <c:crossBetween val="between"/>
      </c:valAx>
    </c:plotArea>
    <c:legend>
      <c:legendPos val="r"/>
      <c:txPr>
        <a:bodyPr/>
        <a:lstStyle/>
        <a:p>
          <a:pPr>
            <a:defRPr sz="800"/>
          </a:pPr>
          <a:endParaRPr lang="en-US"/>
        </a:p>
      </c:txPr>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hospitals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0.19934127571796278</c:v>
                </c:pt>
                <c:pt idx="1">
                  <c:v>0.18079587908351127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0.69143712455687967</c:v>
                </c:pt>
                <c:pt idx="1">
                  <c:v>0.58367292018198558</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0.31308950330461843</c:v>
                </c:pt>
                <c:pt idx="1">
                  <c:v>0.28936494317817346</c:v>
                </c:pt>
              </c:numCache>
            </c:numRef>
          </c:val>
        </c:ser>
        <c:ser>
          <c:idx val="3"/>
          <c:order val="3"/>
          <c:tx>
            <c:strRef>
              <c:f>Sheet1!$AL$383</c:f>
              <c:strCache>
                <c:ptCount val="1"/>
                <c:pt idx="0">
                  <c:v>Dorset</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0.22282304986686799</c:v>
                </c:pt>
                <c:pt idx="1">
                  <c:v>0.15378959887555399</c:v>
                </c:pt>
              </c:numCache>
            </c:numRef>
          </c:val>
        </c:ser>
        <c:axId val="151048576"/>
        <c:axId val="151050112"/>
      </c:barChart>
      <c:catAx>
        <c:axId val="151048576"/>
        <c:scaling>
          <c:orientation val="minMax"/>
        </c:scaling>
        <c:axPos val="b"/>
        <c:numFmt formatCode="General" sourceLinked="1"/>
        <c:tickLblPos val="nextTo"/>
        <c:crossAx val="151050112"/>
        <c:crosses val="autoZero"/>
        <c:auto val="1"/>
        <c:lblAlgn val="ctr"/>
        <c:lblOffset val="100"/>
      </c:catAx>
      <c:valAx>
        <c:axId val="151050112"/>
        <c:scaling>
          <c:orientation val="minMax"/>
        </c:scaling>
        <c:axPos val="l"/>
        <c:majorGridlines/>
        <c:numFmt formatCode="General" sourceLinked="1"/>
        <c:tickLblPos val="nextTo"/>
        <c:txPr>
          <a:bodyPr/>
          <a:lstStyle/>
          <a:p>
            <a:pPr>
              <a:defRPr sz="800"/>
            </a:pPr>
            <a:endParaRPr lang="en-US"/>
          </a:p>
        </c:txPr>
        <c:crossAx val="151048576"/>
        <c:crosses val="autoZero"/>
        <c:crossBetween val="between"/>
      </c:valAx>
    </c:plotArea>
    <c:legend>
      <c:legendPos val="r"/>
      <c:txPr>
        <a:bodyPr/>
        <a:lstStyle/>
        <a:p>
          <a:pPr>
            <a:defRPr sz="800"/>
          </a:pPr>
          <a:endParaRPr lang="en-US"/>
        </a:p>
      </c:txPr>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hospital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37.319630827109002</c:v>
                </c:pt>
                <c:pt idx="1">
                  <c:v>61.864633101056725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19.754666624679633</c:v>
                </c:pt>
                <c:pt idx="1">
                  <c:v>26.735403844065353</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28.698943851852633</c:v>
                </c:pt>
                <c:pt idx="1">
                  <c:v>44.467504656072478</c:v>
                </c:pt>
              </c:numCache>
            </c:numRef>
          </c:val>
        </c:ser>
        <c:ser>
          <c:idx val="3"/>
          <c:order val="3"/>
          <c:tx>
            <c:strRef>
              <c:f>Sheet1!$P$383</c:f>
              <c:strCache>
                <c:ptCount val="1"/>
                <c:pt idx="0">
                  <c:v>Dorset</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23.273871487158118</c:v>
                </c:pt>
                <c:pt idx="1">
                  <c:v>57.340972003281195</c:v>
                </c:pt>
              </c:numCache>
            </c:numRef>
          </c:val>
        </c:ser>
        <c:marker val="1"/>
        <c:axId val="151138688"/>
        <c:axId val="151140224"/>
      </c:lineChart>
      <c:catAx>
        <c:axId val="151138688"/>
        <c:scaling>
          <c:orientation val="minMax"/>
        </c:scaling>
        <c:axPos val="b"/>
        <c:numFmt formatCode="General" sourceLinked="1"/>
        <c:tickLblPos val="nextTo"/>
        <c:crossAx val="151140224"/>
        <c:crosses val="autoZero"/>
        <c:auto val="1"/>
        <c:lblAlgn val="ctr"/>
        <c:lblOffset val="100"/>
      </c:catAx>
      <c:valAx>
        <c:axId val="15114022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138688"/>
        <c:crosses val="autoZero"/>
        <c:crossBetween val="between"/>
      </c:valAx>
    </c:plotArea>
    <c:legend>
      <c:legendPos val="r"/>
      <c:txPr>
        <a:bodyPr/>
        <a:lstStyle/>
        <a:p>
          <a:pPr>
            <a:defRPr sz="800"/>
          </a:pPr>
          <a:endParaRPr lang="en-US"/>
        </a:p>
      </c:txPr>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hospitals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0.49929021683407482</c:v>
                </c:pt>
                <c:pt idx="1">
                  <c:v>0.19708615162226656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1.986772648121458</c:v>
                </c:pt>
                <c:pt idx="1">
                  <c:v>1.1189991466016569</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0.81179338749517982</c:v>
                </c:pt>
                <c:pt idx="1">
                  <c:v>0.41329117484562006</c:v>
                </c:pt>
              </c:numCache>
            </c:numRef>
          </c:val>
        </c:ser>
        <c:ser>
          <c:idx val="3"/>
          <c:order val="3"/>
          <c:tx>
            <c:strRef>
              <c:f>Sheet1!$AW$383</c:f>
              <c:strCache>
                <c:ptCount val="1"/>
                <c:pt idx="0">
                  <c:v>Dorset</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0.95407229654953385</c:v>
                </c:pt>
                <c:pt idx="1">
                  <c:v>0.16487187804086886</c:v>
                </c:pt>
              </c:numCache>
            </c:numRef>
          </c:val>
        </c:ser>
        <c:axId val="151192320"/>
        <c:axId val="151193856"/>
      </c:barChart>
      <c:catAx>
        <c:axId val="151192320"/>
        <c:scaling>
          <c:orientation val="minMax"/>
        </c:scaling>
        <c:axPos val="b"/>
        <c:numFmt formatCode="General" sourceLinked="1"/>
        <c:tickLblPos val="nextTo"/>
        <c:crossAx val="151193856"/>
        <c:crosses val="autoZero"/>
        <c:auto val="1"/>
        <c:lblAlgn val="ctr"/>
        <c:lblOffset val="100"/>
      </c:catAx>
      <c:valAx>
        <c:axId val="151193856"/>
        <c:scaling>
          <c:orientation val="minMax"/>
        </c:scaling>
        <c:axPos val="l"/>
        <c:majorGridlines/>
        <c:numFmt formatCode="General" sourceLinked="1"/>
        <c:tickLblPos val="nextTo"/>
        <c:txPr>
          <a:bodyPr/>
          <a:lstStyle/>
          <a:p>
            <a:pPr>
              <a:defRPr sz="800"/>
            </a:pPr>
            <a:endParaRPr lang="en-US"/>
          </a:p>
        </c:txPr>
        <c:crossAx val="151192320"/>
        <c:crosses val="autoZero"/>
        <c:crossBetween val="between"/>
      </c:valAx>
    </c:plotArea>
    <c:legend>
      <c:legendPos val="r"/>
      <c:txPr>
        <a:bodyPr/>
        <a:lstStyle/>
        <a:p>
          <a:pPr>
            <a:defRPr sz="800"/>
          </a:pPr>
          <a:endParaRPr lang="en-US"/>
        </a:p>
      </c:txPr>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hospital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24.497731651967118</c:v>
                </c:pt>
                <c:pt idx="1">
                  <c:v>26.51826707561553</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15.682303891382222</c:v>
                </c:pt>
                <c:pt idx="1">
                  <c:v>16.090358911861987</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19.706942098520361</c:v>
                </c:pt>
                <c:pt idx="1">
                  <c:v>20.912483329232085</c:v>
                </c:pt>
              </c:numCache>
            </c:numRef>
          </c:val>
        </c:ser>
        <c:ser>
          <c:idx val="3"/>
          <c:order val="3"/>
          <c:tx>
            <c:strRef>
              <c:f>Sheet1!$AA$383</c:f>
              <c:strCache>
                <c:ptCount val="1"/>
                <c:pt idx="0">
                  <c:v>Dorset</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22.720150892323574</c:v>
                </c:pt>
                <c:pt idx="1">
                  <c:v>24.366015787534</c:v>
                </c:pt>
              </c:numCache>
            </c:numRef>
          </c:val>
        </c:ser>
        <c:marker val="1"/>
        <c:axId val="151241472"/>
        <c:axId val="151243008"/>
      </c:lineChart>
      <c:catAx>
        <c:axId val="151241472"/>
        <c:scaling>
          <c:orientation val="minMax"/>
        </c:scaling>
        <c:axPos val="b"/>
        <c:numFmt formatCode="General" sourceLinked="1"/>
        <c:tickLblPos val="nextTo"/>
        <c:crossAx val="151243008"/>
        <c:crosses val="autoZero"/>
        <c:auto val="1"/>
        <c:lblAlgn val="ctr"/>
        <c:lblOffset val="100"/>
      </c:catAx>
      <c:valAx>
        <c:axId val="15124300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241472"/>
        <c:crosses val="autoZero"/>
        <c:crossBetween val="between"/>
      </c:valAx>
    </c:plotArea>
    <c:legend>
      <c:legendPos val="r"/>
      <c:txPr>
        <a:bodyPr/>
        <a:lstStyle/>
        <a:p>
          <a:pPr>
            <a:defRPr sz="800"/>
          </a:pPr>
          <a:endParaRPr lang="en-US"/>
        </a:p>
      </c:txPr>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hospitals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1.2749800474639406</c:v>
                </c:pt>
                <c:pt idx="1">
                  <c:v>0.99773844345834262</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3.5623845333160231</c:v>
                </c:pt>
                <c:pt idx="1">
                  <c:v>3.4371936601339192</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1.8470890295079625</c:v>
                </c:pt>
                <c:pt idx="1">
                  <c:v>1.503360310217507</c:v>
                </c:pt>
              </c:numCache>
            </c:numRef>
          </c:val>
        </c:ser>
        <c:ser>
          <c:idx val="3"/>
          <c:order val="3"/>
          <c:tx>
            <c:strRef>
              <c:f>Sheet1!$BH$383</c:f>
              <c:strCache>
                <c:ptCount val="1"/>
                <c:pt idx="0">
                  <c:v>Dorset</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1.21422701423359</c:v>
                </c:pt>
                <c:pt idx="1">
                  <c:v>0.97704076116336902</c:v>
                </c:pt>
              </c:numCache>
            </c:numRef>
          </c:val>
        </c:ser>
        <c:axId val="151299200"/>
        <c:axId val="151300736"/>
      </c:barChart>
      <c:catAx>
        <c:axId val="151299200"/>
        <c:scaling>
          <c:orientation val="minMax"/>
        </c:scaling>
        <c:axPos val="b"/>
        <c:numFmt formatCode="General" sourceLinked="1"/>
        <c:tickLblPos val="nextTo"/>
        <c:crossAx val="151300736"/>
        <c:crosses val="autoZero"/>
        <c:auto val="1"/>
        <c:lblAlgn val="ctr"/>
        <c:lblOffset val="100"/>
      </c:catAx>
      <c:valAx>
        <c:axId val="151300736"/>
        <c:scaling>
          <c:orientation val="minMax"/>
        </c:scaling>
        <c:axPos val="l"/>
        <c:majorGridlines/>
        <c:numFmt formatCode="General" sourceLinked="1"/>
        <c:tickLblPos val="nextTo"/>
        <c:txPr>
          <a:bodyPr/>
          <a:lstStyle/>
          <a:p>
            <a:pPr>
              <a:defRPr sz="800"/>
            </a:pPr>
            <a:endParaRPr lang="en-US"/>
          </a:p>
        </c:txPr>
        <c:crossAx val="151299200"/>
        <c:crosses val="autoZero"/>
        <c:crossBetween val="between"/>
      </c:valAx>
    </c:plotArea>
    <c:legend>
      <c:legendPos val="r"/>
      <c:txPr>
        <a:bodyPr/>
        <a:lstStyle/>
        <a:p>
          <a:pPr>
            <a:defRPr sz="800"/>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Sheet1!$AM$379</c:f>
          <c:strCache>
            <c:ptCount val="1"/>
            <c:pt idx="0">
              <c:v>Travel time to nearest employment centre with 500 to 4999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Sheet1!$AM$380</c:f>
              <c:strCache>
                <c:ptCount val="1"/>
                <c:pt idx="0">
                  <c:v>Predominantly Rural average</c:v>
                </c:pt>
              </c:strCache>
            </c:strRef>
          </c:tx>
          <c:spPr>
            <a:ln w="25400">
              <a:solidFill>
                <a:schemeClr val="bg1">
                  <a:lumMod val="65000"/>
                </a:schemeClr>
              </a:solidFill>
            </a:ln>
          </c:spPr>
          <c:marker>
            <c:symbol val="none"/>
          </c:marker>
          <c:cat>
            <c:numRef>
              <c:f>Sheet1!$AN$379:$AP$379</c:f>
              <c:numCache>
                <c:formatCode>General</c:formatCode>
                <c:ptCount val="3"/>
                <c:pt idx="0">
                  <c:v>2014</c:v>
                </c:pt>
                <c:pt idx="1">
                  <c:v>2015</c:v>
                </c:pt>
                <c:pt idx="2">
                  <c:v>2016</c:v>
                </c:pt>
              </c:numCache>
            </c:numRef>
          </c:cat>
          <c:val>
            <c:numRef>
              <c:f>Sheet1!$AN$380:$AP$380</c:f>
              <c:numCache>
                <c:formatCode>General</c:formatCode>
                <c:ptCount val="3"/>
                <c:pt idx="0">
                  <c:v>18.106250069870509</c:v>
                </c:pt>
                <c:pt idx="1">
                  <c:v>18.683274512636373</c:v>
                </c:pt>
                <c:pt idx="2">
                  <c:v>19.272806004395552</c:v>
                </c:pt>
              </c:numCache>
            </c:numRef>
          </c:val>
        </c:ser>
        <c:ser>
          <c:idx val="2"/>
          <c:order val="1"/>
          <c:tx>
            <c:strRef>
              <c:f>Sheet1!$AM$381</c:f>
              <c:strCache>
                <c:ptCount val="1"/>
                <c:pt idx="0">
                  <c:v>Predominantly Urban average</c:v>
                </c:pt>
              </c:strCache>
            </c:strRef>
          </c:tx>
          <c:spPr>
            <a:ln w="25400">
              <a:solidFill>
                <a:schemeClr val="accent6">
                  <a:lumMod val="75000"/>
                </a:schemeClr>
              </a:solidFill>
              <a:prstDash val="sysDash"/>
            </a:ln>
          </c:spPr>
          <c:marker>
            <c:symbol val="none"/>
          </c:marker>
          <c:cat>
            <c:numRef>
              <c:f>Sheet1!$AN$379:$AP$379</c:f>
              <c:numCache>
                <c:formatCode>General</c:formatCode>
                <c:ptCount val="3"/>
                <c:pt idx="0">
                  <c:v>2014</c:v>
                </c:pt>
                <c:pt idx="1">
                  <c:v>2015</c:v>
                </c:pt>
                <c:pt idx="2">
                  <c:v>2016</c:v>
                </c:pt>
              </c:numCache>
            </c:numRef>
          </c:cat>
          <c:val>
            <c:numRef>
              <c:f>Sheet1!$AN$381:$AP$381</c:f>
              <c:numCache>
                <c:formatCode>General</c:formatCode>
                <c:ptCount val="3"/>
                <c:pt idx="0">
                  <c:v>11.085741193952634</c:v>
                </c:pt>
                <c:pt idx="1">
                  <c:v>11.034242077099782</c:v>
                </c:pt>
                <c:pt idx="2">
                  <c:v>11.751106239756774</c:v>
                </c:pt>
              </c:numCache>
            </c:numRef>
          </c:val>
        </c:ser>
        <c:ser>
          <c:idx val="3"/>
          <c:order val="2"/>
          <c:tx>
            <c:strRef>
              <c:f>Sheet1!$AM$382</c:f>
              <c:strCache>
                <c:ptCount val="1"/>
                <c:pt idx="0">
                  <c:v>Shire County average</c:v>
                </c:pt>
              </c:strCache>
            </c:strRef>
          </c:tx>
          <c:spPr>
            <a:ln w="25400">
              <a:solidFill>
                <a:schemeClr val="accent1">
                  <a:lumMod val="40000"/>
                  <a:lumOff val="60000"/>
                </a:schemeClr>
              </a:solidFill>
              <a:prstDash val="sysDot"/>
            </a:ln>
          </c:spPr>
          <c:marker>
            <c:symbol val="none"/>
          </c:marker>
          <c:cat>
            <c:numRef>
              <c:f>Sheet1!$AN$379:$AP$379</c:f>
              <c:numCache>
                <c:formatCode>General</c:formatCode>
                <c:ptCount val="3"/>
                <c:pt idx="0">
                  <c:v>2014</c:v>
                </c:pt>
                <c:pt idx="1">
                  <c:v>2015</c:v>
                </c:pt>
                <c:pt idx="2">
                  <c:v>2016</c:v>
                </c:pt>
              </c:numCache>
            </c:numRef>
          </c:cat>
          <c:val>
            <c:numRef>
              <c:f>Sheet1!$AN$382:$AP$382</c:f>
              <c:numCache>
                <c:formatCode>General</c:formatCode>
                <c:ptCount val="3"/>
                <c:pt idx="0">
                  <c:v>15.13431358371629</c:v>
                </c:pt>
                <c:pt idx="1">
                  <c:v>15.371989381276157</c:v>
                </c:pt>
                <c:pt idx="2">
                  <c:v>16.018381015906339</c:v>
                </c:pt>
              </c:numCache>
            </c:numRef>
          </c:val>
        </c:ser>
        <c:ser>
          <c:idx val="4"/>
          <c:order val="3"/>
          <c:tx>
            <c:strRef>
              <c:f>Sheet1!$AM$383</c:f>
              <c:strCache>
                <c:ptCount val="1"/>
                <c:pt idx="0">
                  <c:v>Dorset</c:v>
                </c:pt>
              </c:strCache>
            </c:strRef>
          </c:tx>
          <c:spPr>
            <a:ln w="25400">
              <a:solidFill>
                <a:schemeClr val="tx1"/>
              </a:solidFill>
            </a:ln>
          </c:spPr>
          <c:marker>
            <c:symbol val="none"/>
          </c:marker>
          <c:cat>
            <c:numRef>
              <c:f>Sheet1!$AN$379:$AP$379</c:f>
              <c:numCache>
                <c:formatCode>General</c:formatCode>
                <c:ptCount val="3"/>
                <c:pt idx="0">
                  <c:v>2014</c:v>
                </c:pt>
                <c:pt idx="1">
                  <c:v>2015</c:v>
                </c:pt>
                <c:pt idx="2">
                  <c:v>2016</c:v>
                </c:pt>
              </c:numCache>
            </c:numRef>
          </c:cat>
          <c:val>
            <c:numRef>
              <c:f>Sheet1!$AN$383:$AP$383</c:f>
              <c:numCache>
                <c:formatCode>General</c:formatCode>
                <c:ptCount val="3"/>
                <c:pt idx="0">
                  <c:v>17.277681401560187</c:v>
                </c:pt>
                <c:pt idx="1">
                  <c:v>17.054858485256755</c:v>
                </c:pt>
                <c:pt idx="2">
                  <c:v>17.6113826930237</c:v>
                </c:pt>
              </c:numCache>
            </c:numRef>
          </c:val>
        </c:ser>
        <c:marker val="1"/>
        <c:axId val="149639936"/>
        <c:axId val="149641472"/>
      </c:lineChart>
      <c:catAx>
        <c:axId val="149639936"/>
        <c:scaling>
          <c:orientation val="minMax"/>
        </c:scaling>
        <c:axPos val="b"/>
        <c:numFmt formatCode="General" sourceLinked="1"/>
        <c:tickLblPos val="nextTo"/>
        <c:crossAx val="149641472"/>
        <c:crosses val="autoZero"/>
        <c:auto val="1"/>
        <c:lblAlgn val="ctr"/>
        <c:lblOffset val="100"/>
      </c:catAx>
      <c:valAx>
        <c:axId val="149641472"/>
        <c:scaling>
          <c:orientation val="minMax"/>
        </c:scaling>
        <c:axPos val="l"/>
        <c:majorGridlines/>
        <c:title>
          <c:tx>
            <c:strRef>
              <c:f>Sheet1!$AM$384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639936"/>
        <c:crosses val="autoZero"/>
        <c:crossBetween val="between"/>
      </c:valAx>
    </c:plotArea>
    <c:legend>
      <c:legendPos val="r"/>
      <c:txPr>
        <a:bodyPr/>
        <a:lstStyle/>
        <a:p>
          <a:pPr>
            <a:defRPr sz="800"/>
          </a:pPr>
          <a:endParaRPr lang="en-US"/>
        </a:p>
      </c:txPr>
    </c:legend>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Pharmacy by cycle</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Sheet1!$E$380</c:f>
              <c:strCache>
                <c:ptCount val="1"/>
                <c:pt idx="0">
                  <c:v>Predominantly Rural average</c:v>
                </c:pt>
              </c:strCache>
            </c:strRef>
          </c:tx>
          <c:spPr>
            <a:solidFill>
              <a:schemeClr val="bg1">
                <a:lumMod val="75000"/>
              </a:schemeClr>
            </a:solidFill>
            <a:ln>
              <a:noFill/>
            </a:ln>
          </c:spPr>
          <c:cat>
            <c:numRef>
              <c:f>Sheet1!$G$379</c:f>
              <c:numCache>
                <c:formatCode>General</c:formatCode>
                <c:ptCount val="1"/>
                <c:pt idx="0">
                  <c:v>2015</c:v>
                </c:pt>
              </c:numCache>
            </c:numRef>
          </c:cat>
          <c:val>
            <c:numRef>
              <c:f>Sheet1!$G$380</c:f>
              <c:numCache>
                <c:formatCode>General</c:formatCode>
                <c:ptCount val="1"/>
                <c:pt idx="0">
                  <c:v>14.650989897177151</c:v>
                </c:pt>
              </c:numCache>
            </c:numRef>
          </c:val>
        </c:ser>
        <c:ser>
          <c:idx val="1"/>
          <c:order val="1"/>
          <c:tx>
            <c:strRef>
              <c:f>Sheet1!$E$381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Sheet1!$G$379</c:f>
              <c:numCache>
                <c:formatCode>General</c:formatCode>
                <c:ptCount val="1"/>
                <c:pt idx="0">
                  <c:v>2015</c:v>
                </c:pt>
              </c:numCache>
            </c:numRef>
          </c:cat>
          <c:val>
            <c:numRef>
              <c:f>Sheet1!$G$381</c:f>
              <c:numCache>
                <c:formatCode>General</c:formatCode>
                <c:ptCount val="1"/>
                <c:pt idx="0">
                  <c:v>7.7081046023850375</c:v>
                </c:pt>
              </c:numCache>
            </c:numRef>
          </c:val>
        </c:ser>
        <c:ser>
          <c:idx val="2"/>
          <c:order val="2"/>
          <c:tx>
            <c:strRef>
              <c:f>Sheet1!$E$382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Sheet1!$G$379</c:f>
              <c:numCache>
                <c:formatCode>General</c:formatCode>
                <c:ptCount val="1"/>
                <c:pt idx="0">
                  <c:v>2015</c:v>
                </c:pt>
              </c:numCache>
            </c:numRef>
          </c:cat>
          <c:val>
            <c:numRef>
              <c:f>Sheet1!$G$382</c:f>
              <c:numCache>
                <c:formatCode>General</c:formatCode>
                <c:ptCount val="1"/>
                <c:pt idx="0">
                  <c:v>11.565609437060932</c:v>
                </c:pt>
              </c:numCache>
            </c:numRef>
          </c:val>
        </c:ser>
        <c:ser>
          <c:idx val="3"/>
          <c:order val="3"/>
          <c:tx>
            <c:strRef>
              <c:f>Sheet1!$E$383</c:f>
              <c:strCache>
                <c:ptCount val="1"/>
                <c:pt idx="0">
                  <c:v>Dorset</c:v>
                </c:pt>
              </c:strCache>
            </c:strRef>
          </c:tx>
          <c:spPr>
            <a:solidFill>
              <a:schemeClr val="tx1"/>
            </a:solidFill>
            <a:ln>
              <a:noFill/>
            </a:ln>
          </c:spPr>
          <c:cat>
            <c:numRef>
              <c:f>Sheet1!$G$379</c:f>
              <c:numCache>
                <c:formatCode>General</c:formatCode>
                <c:ptCount val="1"/>
                <c:pt idx="0">
                  <c:v>2015</c:v>
                </c:pt>
              </c:numCache>
            </c:numRef>
          </c:cat>
          <c:val>
            <c:numRef>
              <c:f>Sheet1!$G$383</c:f>
              <c:numCache>
                <c:formatCode>General</c:formatCode>
                <c:ptCount val="1"/>
                <c:pt idx="0">
                  <c:v>13.384043995706104</c:v>
                </c:pt>
              </c:numCache>
            </c:numRef>
          </c:val>
        </c:ser>
        <c:axId val="151340160"/>
        <c:axId val="151341696"/>
      </c:barChart>
      <c:catAx>
        <c:axId val="151340160"/>
        <c:scaling>
          <c:orientation val="minMax"/>
        </c:scaling>
        <c:axPos val="b"/>
        <c:numFmt formatCode="General" sourceLinked="1"/>
        <c:tickLblPos val="nextTo"/>
        <c:crossAx val="151341696"/>
        <c:crosses val="autoZero"/>
        <c:auto val="1"/>
        <c:lblAlgn val="ctr"/>
        <c:lblOffset val="100"/>
      </c:catAx>
      <c:valAx>
        <c:axId val="15134169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340160"/>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Pharmacies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a:noFill/>
            </a:ln>
          </c:spPr>
          <c:cat>
            <c:numRef>
              <c:f>Sheet1!$AN$379</c:f>
              <c:numCache>
                <c:formatCode>General</c:formatCode>
                <c:ptCount val="1"/>
                <c:pt idx="0">
                  <c:v>2015</c:v>
                </c:pt>
              </c:numCache>
            </c:numRef>
          </c:cat>
          <c:val>
            <c:numRef>
              <c:f>Sheet1!$AN$380</c:f>
              <c:numCache>
                <c:formatCode>General</c:formatCode>
                <c:ptCount val="1"/>
                <c:pt idx="0">
                  <c:v>4.7048595337079027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Sheet1!$AN$379</c:f>
              <c:numCache>
                <c:formatCode>General</c:formatCode>
                <c:ptCount val="1"/>
                <c:pt idx="0">
                  <c:v>2015</c:v>
                </c:pt>
              </c:numCache>
            </c:numRef>
          </c:cat>
          <c:val>
            <c:numRef>
              <c:f>Sheet1!$AN$381</c:f>
              <c:numCache>
                <c:formatCode>General</c:formatCode>
                <c:ptCount val="1"/>
                <c:pt idx="0">
                  <c:v>9.7916827461591112</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Sheet1!$AN$379</c:f>
              <c:numCache>
                <c:formatCode>General</c:formatCode>
                <c:ptCount val="1"/>
                <c:pt idx="0">
                  <c:v>2015</c:v>
                </c:pt>
              </c:numCache>
            </c:numRef>
          </c:cat>
          <c:val>
            <c:numRef>
              <c:f>Sheet1!$AN$382</c:f>
              <c:numCache>
                <c:formatCode>General</c:formatCode>
                <c:ptCount val="1"/>
                <c:pt idx="0">
                  <c:v>7.1624634490520442</c:v>
                </c:pt>
              </c:numCache>
            </c:numRef>
          </c:val>
        </c:ser>
        <c:ser>
          <c:idx val="3"/>
          <c:order val="3"/>
          <c:tx>
            <c:strRef>
              <c:f>Sheet1!$AL$383</c:f>
              <c:strCache>
                <c:ptCount val="1"/>
                <c:pt idx="0">
                  <c:v>Dorset</c:v>
                </c:pt>
              </c:strCache>
            </c:strRef>
          </c:tx>
          <c:spPr>
            <a:solidFill>
              <a:schemeClr val="tx1"/>
            </a:solidFill>
            <a:ln>
              <a:noFill/>
            </a:ln>
          </c:spPr>
          <c:cat>
            <c:numRef>
              <c:f>Sheet1!$AN$379</c:f>
              <c:numCache>
                <c:formatCode>General</c:formatCode>
                <c:ptCount val="1"/>
                <c:pt idx="0">
                  <c:v>2015</c:v>
                </c:pt>
              </c:numCache>
            </c:numRef>
          </c:cat>
          <c:val>
            <c:numRef>
              <c:f>Sheet1!$AN$383</c:f>
              <c:numCache>
                <c:formatCode>General</c:formatCode>
                <c:ptCount val="1"/>
                <c:pt idx="0">
                  <c:v>5.6738079792409959</c:v>
                </c:pt>
              </c:numCache>
            </c:numRef>
          </c:val>
        </c:ser>
        <c:axId val="151381120"/>
        <c:axId val="151382656"/>
      </c:barChart>
      <c:catAx>
        <c:axId val="151381120"/>
        <c:scaling>
          <c:orientation val="minMax"/>
        </c:scaling>
        <c:axPos val="b"/>
        <c:numFmt formatCode="General" sourceLinked="1"/>
        <c:tickLblPos val="nextTo"/>
        <c:crossAx val="151382656"/>
        <c:crosses val="autoZero"/>
        <c:auto val="1"/>
        <c:lblAlgn val="ctr"/>
        <c:lblOffset val="100"/>
      </c:catAx>
      <c:valAx>
        <c:axId val="151382656"/>
        <c:scaling>
          <c:orientation val="minMax"/>
        </c:scaling>
        <c:axPos val="l"/>
        <c:majorGridlines/>
        <c:numFmt formatCode="General" sourceLinked="1"/>
        <c:tickLblPos val="nextTo"/>
        <c:txPr>
          <a:bodyPr/>
          <a:lstStyle/>
          <a:p>
            <a:pPr>
              <a:defRPr sz="800"/>
            </a:pPr>
            <a:endParaRPr lang="en-US"/>
          </a:p>
        </c:txPr>
        <c:crossAx val="151381120"/>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Pharmacy by car</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Sheet1!$P$380</c:f>
              <c:strCache>
                <c:ptCount val="1"/>
                <c:pt idx="0">
                  <c:v>Predominantly Rural average</c:v>
                </c:pt>
              </c:strCache>
            </c:strRef>
          </c:tx>
          <c:spPr>
            <a:solidFill>
              <a:schemeClr val="bg1">
                <a:lumMod val="75000"/>
              </a:schemeClr>
            </a:solidFill>
            <a:ln>
              <a:noFill/>
            </a:ln>
          </c:spPr>
          <c:cat>
            <c:numRef>
              <c:f>Sheet1!$R$379</c:f>
              <c:numCache>
                <c:formatCode>General</c:formatCode>
                <c:ptCount val="1"/>
                <c:pt idx="0">
                  <c:v>2015</c:v>
                </c:pt>
              </c:numCache>
            </c:numRef>
          </c:cat>
          <c:val>
            <c:numRef>
              <c:f>Sheet1!$R$380</c:f>
              <c:numCache>
                <c:formatCode>General</c:formatCode>
                <c:ptCount val="1"/>
                <c:pt idx="0">
                  <c:v>9.1262413690006259</c:v>
                </c:pt>
              </c:numCache>
            </c:numRef>
          </c:val>
        </c:ser>
        <c:ser>
          <c:idx val="1"/>
          <c:order val="1"/>
          <c:tx>
            <c:strRef>
              <c:f>Sheet1!$P$381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Sheet1!$R$379</c:f>
              <c:numCache>
                <c:formatCode>General</c:formatCode>
                <c:ptCount val="1"/>
                <c:pt idx="0">
                  <c:v>2015</c:v>
                </c:pt>
              </c:numCache>
            </c:numRef>
          </c:cat>
          <c:val>
            <c:numRef>
              <c:f>Sheet1!$R$381</c:f>
              <c:numCache>
                <c:formatCode>General</c:formatCode>
                <c:ptCount val="1"/>
                <c:pt idx="0">
                  <c:v>6.5634435274319944</c:v>
                </c:pt>
              </c:numCache>
            </c:numRef>
          </c:val>
        </c:ser>
        <c:ser>
          <c:idx val="2"/>
          <c:order val="2"/>
          <c:tx>
            <c:strRef>
              <c:f>Sheet1!$P$382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Sheet1!$R$379</c:f>
              <c:numCache>
                <c:formatCode>General</c:formatCode>
                <c:ptCount val="1"/>
                <c:pt idx="0">
                  <c:v>2015</c:v>
                </c:pt>
              </c:numCache>
            </c:numRef>
          </c:cat>
          <c:val>
            <c:numRef>
              <c:f>Sheet1!$R$382</c:f>
              <c:numCache>
                <c:formatCode>General</c:formatCode>
                <c:ptCount val="1"/>
                <c:pt idx="0">
                  <c:v>8.0724484447627205</c:v>
                </c:pt>
              </c:numCache>
            </c:numRef>
          </c:val>
        </c:ser>
        <c:ser>
          <c:idx val="3"/>
          <c:order val="3"/>
          <c:tx>
            <c:strRef>
              <c:f>Sheet1!$P$383</c:f>
              <c:strCache>
                <c:ptCount val="1"/>
                <c:pt idx="0">
                  <c:v>Dorset</c:v>
                </c:pt>
              </c:strCache>
            </c:strRef>
          </c:tx>
          <c:spPr>
            <a:solidFill>
              <a:schemeClr val="tx1"/>
            </a:solidFill>
            <a:ln>
              <a:noFill/>
            </a:ln>
          </c:spPr>
          <c:cat>
            <c:numRef>
              <c:f>Sheet1!$R$379</c:f>
              <c:numCache>
                <c:formatCode>General</c:formatCode>
                <c:ptCount val="1"/>
                <c:pt idx="0">
                  <c:v>2015</c:v>
                </c:pt>
              </c:numCache>
            </c:numRef>
          </c:cat>
          <c:val>
            <c:numRef>
              <c:f>Sheet1!$R$383</c:f>
              <c:numCache>
                <c:formatCode>General</c:formatCode>
                <c:ptCount val="1"/>
                <c:pt idx="0">
                  <c:v>8.7234274984262594</c:v>
                </c:pt>
              </c:numCache>
            </c:numRef>
          </c:val>
        </c:ser>
        <c:axId val="151425792"/>
        <c:axId val="151427328"/>
      </c:barChart>
      <c:catAx>
        <c:axId val="151425792"/>
        <c:scaling>
          <c:orientation val="minMax"/>
        </c:scaling>
        <c:axPos val="b"/>
        <c:numFmt formatCode="General" sourceLinked="1"/>
        <c:tickLblPos val="nextTo"/>
        <c:crossAx val="151427328"/>
        <c:crosses val="autoZero"/>
        <c:auto val="1"/>
        <c:lblAlgn val="ctr"/>
        <c:lblOffset val="100"/>
      </c:catAx>
      <c:valAx>
        <c:axId val="15142732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425792"/>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Pharmacies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a:noFill/>
            </a:ln>
          </c:spPr>
          <c:cat>
            <c:numRef>
              <c:f>Sheet1!$AY$379</c:f>
              <c:numCache>
                <c:formatCode>General</c:formatCode>
                <c:ptCount val="1"/>
                <c:pt idx="0">
                  <c:v>2015</c:v>
                </c:pt>
              </c:numCache>
            </c:numRef>
          </c:cat>
          <c:val>
            <c:numRef>
              <c:f>Sheet1!$AY$380</c:f>
              <c:numCache>
                <c:formatCode>General</c:formatCode>
                <c:ptCount val="1"/>
                <c:pt idx="0">
                  <c:v>9.5058546169903266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Sheet1!$AY$379</c:f>
              <c:numCache>
                <c:formatCode>General</c:formatCode>
                <c:ptCount val="1"/>
                <c:pt idx="0">
                  <c:v>2015</c:v>
                </c:pt>
              </c:numCache>
            </c:numRef>
          </c:cat>
          <c:val>
            <c:numRef>
              <c:f>Sheet1!$AY$381</c:f>
              <c:numCache>
                <c:formatCode>General</c:formatCode>
                <c:ptCount val="1"/>
                <c:pt idx="0">
                  <c:v>9.996338468726881</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Sheet1!$AY$379</c:f>
              <c:numCache>
                <c:formatCode>General</c:formatCode>
                <c:ptCount val="1"/>
                <c:pt idx="0">
                  <c:v>2015</c:v>
                </c:pt>
              </c:numCache>
            </c:numRef>
          </c:cat>
          <c:val>
            <c:numRef>
              <c:f>Sheet1!$AY$382</c:f>
              <c:numCache>
                <c:formatCode>General</c:formatCode>
                <c:ptCount val="1"/>
                <c:pt idx="0">
                  <c:v>9.8123020104084375</c:v>
                </c:pt>
              </c:numCache>
            </c:numRef>
          </c:val>
        </c:ser>
        <c:ser>
          <c:idx val="3"/>
          <c:order val="3"/>
          <c:tx>
            <c:strRef>
              <c:f>Sheet1!$AW$383</c:f>
              <c:strCache>
                <c:ptCount val="1"/>
                <c:pt idx="0">
                  <c:v>Dorset</c:v>
                </c:pt>
              </c:strCache>
            </c:strRef>
          </c:tx>
          <c:spPr>
            <a:solidFill>
              <a:schemeClr val="tx1"/>
            </a:solidFill>
            <a:ln>
              <a:noFill/>
            </a:ln>
          </c:spPr>
          <c:cat>
            <c:numRef>
              <c:f>Sheet1!$AY$379</c:f>
              <c:numCache>
                <c:formatCode>General</c:formatCode>
                <c:ptCount val="1"/>
                <c:pt idx="0">
                  <c:v>2015</c:v>
                </c:pt>
              </c:numCache>
            </c:numRef>
          </c:cat>
          <c:val>
            <c:numRef>
              <c:f>Sheet1!$AY$383</c:f>
              <c:numCache>
                <c:formatCode>General</c:formatCode>
                <c:ptCount val="1"/>
                <c:pt idx="0">
                  <c:v>9.648313331170927</c:v>
                </c:pt>
              </c:numCache>
            </c:numRef>
          </c:val>
        </c:ser>
        <c:axId val="151479424"/>
        <c:axId val="151480960"/>
      </c:barChart>
      <c:catAx>
        <c:axId val="151479424"/>
        <c:scaling>
          <c:orientation val="minMax"/>
        </c:scaling>
        <c:axPos val="b"/>
        <c:numFmt formatCode="General" sourceLinked="1"/>
        <c:tickLblPos val="nextTo"/>
        <c:crossAx val="151480960"/>
        <c:crosses val="autoZero"/>
        <c:auto val="1"/>
        <c:lblAlgn val="ctr"/>
        <c:lblOffset val="100"/>
      </c:catAx>
      <c:valAx>
        <c:axId val="151480960"/>
        <c:scaling>
          <c:orientation val="minMax"/>
        </c:scaling>
        <c:axPos val="l"/>
        <c:majorGridlines/>
        <c:numFmt formatCode="General" sourceLinked="1"/>
        <c:tickLblPos val="nextTo"/>
        <c:txPr>
          <a:bodyPr/>
          <a:lstStyle/>
          <a:p>
            <a:pPr>
              <a:defRPr sz="800"/>
            </a:pPr>
            <a:endParaRPr lang="en-US"/>
          </a:p>
        </c:txPr>
        <c:crossAx val="151479424"/>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food store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13.685779199251701</c:v>
                </c:pt>
                <c:pt idx="1">
                  <c:v>14.199831293440386</c:v>
                </c:pt>
                <c:pt idx="2">
                  <c:v>14.369985291499788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7.6033907037345729</c:v>
                </c:pt>
                <c:pt idx="1">
                  <c:v>7.6065014355120493</c:v>
                </c:pt>
                <c:pt idx="2">
                  <c:v>7.9513310678684652</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10.997677764313536</c:v>
                </c:pt>
                <c:pt idx="1">
                  <c:v>11.244253713251332</c:v>
                </c:pt>
                <c:pt idx="2">
                  <c:v>11.529444348140727</c:v>
                </c:pt>
              </c:numCache>
            </c:numRef>
          </c:val>
        </c:ser>
        <c:ser>
          <c:idx val="3"/>
          <c:order val="3"/>
          <c:tx>
            <c:strRef>
              <c:f>Sheet1!$E$383</c:f>
              <c:strCache>
                <c:ptCount val="1"/>
                <c:pt idx="0">
                  <c:v>Dorset</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12.390363163417998</c:v>
                </c:pt>
                <c:pt idx="1">
                  <c:v>13.229945861071299</c:v>
                </c:pt>
                <c:pt idx="2">
                  <c:v>13.118298595595192</c:v>
                </c:pt>
              </c:numCache>
            </c:numRef>
          </c:val>
        </c:ser>
        <c:marker val="1"/>
        <c:axId val="151499904"/>
        <c:axId val="151501440"/>
      </c:lineChart>
      <c:catAx>
        <c:axId val="151499904"/>
        <c:scaling>
          <c:orientation val="minMax"/>
        </c:scaling>
        <c:axPos val="b"/>
        <c:numFmt formatCode="General" sourceLinked="1"/>
        <c:tickLblPos val="nextTo"/>
        <c:crossAx val="151501440"/>
        <c:crosses val="autoZero"/>
        <c:auto val="1"/>
        <c:lblAlgn val="ctr"/>
        <c:lblOffset val="100"/>
      </c:catAx>
      <c:valAx>
        <c:axId val="15150144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crossAx val="151499904"/>
        <c:crosses val="autoZero"/>
        <c:crossBetween val="between"/>
      </c:valAx>
    </c:plotArea>
    <c:legend>
      <c:legendPos val="r"/>
      <c:txPr>
        <a:bodyPr/>
        <a:lstStyle/>
        <a:p>
          <a:pPr>
            <a:defRPr sz="800"/>
          </a:pPr>
          <a:endParaRPr lang="en-US"/>
        </a:p>
      </c:txPr>
    </c:legend>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food stores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7.1981251542329892</c:v>
                </c:pt>
                <c:pt idx="1">
                  <c:v>7.2860736753870103</c:v>
                </c:pt>
                <c:pt idx="2">
                  <c:v>7.3894726111111124</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9.8150365431927078</c:v>
                </c:pt>
                <c:pt idx="1">
                  <c:v>9.8492121994220607</c:v>
                </c:pt>
                <c:pt idx="2">
                  <c:v>9.8659293591160271</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8.400429732308071</c:v>
                </c:pt>
                <c:pt idx="1">
                  <c:v>8.4747698338616768</c:v>
                </c:pt>
                <c:pt idx="2">
                  <c:v>8.5446837037037007</c:v>
                </c:pt>
              </c:numCache>
            </c:numRef>
          </c:val>
        </c:ser>
        <c:ser>
          <c:idx val="3"/>
          <c:order val="3"/>
          <c:tx>
            <c:strRef>
              <c:f>Sheet1!$AL$383</c:f>
              <c:strCache>
                <c:ptCount val="1"/>
                <c:pt idx="0">
                  <c:v>Dorset</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7.7368594063311535</c:v>
                </c:pt>
                <c:pt idx="1">
                  <c:v>7.768407395394104</c:v>
                </c:pt>
                <c:pt idx="2">
                  <c:v>7.9110170000000002</c:v>
                </c:pt>
              </c:numCache>
            </c:numRef>
          </c:val>
        </c:ser>
        <c:axId val="151623168"/>
        <c:axId val="151624704"/>
      </c:barChart>
      <c:catAx>
        <c:axId val="151623168"/>
        <c:scaling>
          <c:orientation val="minMax"/>
        </c:scaling>
        <c:axPos val="b"/>
        <c:numFmt formatCode="General" sourceLinked="1"/>
        <c:tickLblPos val="nextTo"/>
        <c:crossAx val="151624704"/>
        <c:crosses val="autoZero"/>
        <c:auto val="1"/>
        <c:lblAlgn val="ctr"/>
        <c:lblOffset val="100"/>
      </c:catAx>
      <c:valAx>
        <c:axId val="151624704"/>
        <c:scaling>
          <c:orientation val="minMax"/>
        </c:scaling>
        <c:axPos val="l"/>
        <c:majorGridlines/>
        <c:numFmt formatCode="General" sourceLinked="1"/>
        <c:tickLblPos val="nextTo"/>
        <c:crossAx val="151623168"/>
        <c:crosses val="autoZero"/>
        <c:crossBetween val="between"/>
      </c:valAx>
    </c:plotArea>
    <c:legend>
      <c:legendPos val="r"/>
      <c:txPr>
        <a:bodyPr/>
        <a:lstStyle/>
        <a:p>
          <a:pPr>
            <a:defRPr sz="800"/>
          </a:pPr>
          <a:endParaRPr lang="en-US"/>
        </a:p>
      </c:txPr>
    </c:legend>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food store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12.082258771210768</c:v>
                </c:pt>
                <c:pt idx="1">
                  <c:v>12.039015122196695</c:v>
                </c:pt>
                <c:pt idx="2">
                  <c:v>11.973294052476689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7.9627321924350394</c:v>
                </c:pt>
                <c:pt idx="1">
                  <c:v>7.9676448477783763</c:v>
                </c:pt>
                <c:pt idx="2">
                  <c:v>7.9433810024788585</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10.17206102194746</c:v>
                </c:pt>
                <c:pt idx="1">
                  <c:v>10.130329647692822</c:v>
                </c:pt>
                <c:pt idx="2">
                  <c:v>10.083349440793818</c:v>
                </c:pt>
              </c:numCache>
            </c:numRef>
          </c:val>
        </c:ser>
        <c:ser>
          <c:idx val="3"/>
          <c:order val="3"/>
          <c:tx>
            <c:strRef>
              <c:f>Sheet1!$P$383</c:f>
              <c:strCache>
                <c:ptCount val="1"/>
                <c:pt idx="0">
                  <c:v>Dorset</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10.989322016409007</c:v>
                </c:pt>
                <c:pt idx="1">
                  <c:v>11.265295766610798</c:v>
                </c:pt>
                <c:pt idx="2">
                  <c:v>11.092916440407604</c:v>
                </c:pt>
              </c:numCache>
            </c:numRef>
          </c:val>
        </c:ser>
        <c:marker val="1"/>
        <c:axId val="151672320"/>
        <c:axId val="151673856"/>
      </c:lineChart>
      <c:catAx>
        <c:axId val="151672320"/>
        <c:scaling>
          <c:orientation val="minMax"/>
        </c:scaling>
        <c:axPos val="b"/>
        <c:numFmt formatCode="General" sourceLinked="1"/>
        <c:tickLblPos val="nextTo"/>
        <c:crossAx val="151673856"/>
        <c:crosses val="autoZero"/>
        <c:auto val="1"/>
        <c:lblAlgn val="ctr"/>
        <c:lblOffset val="100"/>
      </c:catAx>
      <c:valAx>
        <c:axId val="15167385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crossAx val="151672320"/>
        <c:crosses val="autoZero"/>
        <c:crossBetween val="between"/>
      </c:valAx>
    </c:plotArea>
    <c:legend>
      <c:legendPos val="r"/>
      <c:txPr>
        <a:bodyPr/>
        <a:lstStyle/>
        <a:p>
          <a:pPr>
            <a:defRPr sz="800"/>
          </a:pPr>
          <a:endParaRPr lang="en-US"/>
        </a:p>
      </c:txPr>
    </c:legend>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food stores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6.6204478019061481</c:v>
                </c:pt>
                <c:pt idx="1">
                  <c:v>7.0321962275513465</c:v>
                </c:pt>
                <c:pt idx="2">
                  <c:v>7.1508395111111085</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9.4007660714401293</c:v>
                </c:pt>
                <c:pt idx="1">
                  <c:v>9.9257411516450524</c:v>
                </c:pt>
                <c:pt idx="2">
                  <c:v>9.9322411215469604</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8.0289557910563634</c:v>
                </c:pt>
                <c:pt idx="1">
                  <c:v>8.456057991802572</c:v>
                </c:pt>
                <c:pt idx="2">
                  <c:v>8.5286754444444419</c:v>
                </c:pt>
              </c:numCache>
            </c:numRef>
          </c:val>
        </c:ser>
        <c:ser>
          <c:idx val="3"/>
          <c:order val="3"/>
          <c:tx>
            <c:strRef>
              <c:f>Sheet1!$AW$383</c:f>
              <c:strCache>
                <c:ptCount val="1"/>
                <c:pt idx="0">
                  <c:v>Dorset</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7.2845074126425802</c:v>
                </c:pt>
                <c:pt idx="1">
                  <c:v>7.4625905503297663</c:v>
                </c:pt>
                <c:pt idx="2">
                  <c:v>7.5711170000000001</c:v>
                </c:pt>
              </c:numCache>
            </c:numRef>
          </c:val>
        </c:ser>
        <c:axId val="151721856"/>
        <c:axId val="151723392"/>
      </c:barChart>
      <c:catAx>
        <c:axId val="151721856"/>
        <c:scaling>
          <c:orientation val="minMax"/>
        </c:scaling>
        <c:axPos val="b"/>
        <c:numFmt formatCode="General" sourceLinked="1"/>
        <c:tickLblPos val="nextTo"/>
        <c:crossAx val="151723392"/>
        <c:crosses val="autoZero"/>
        <c:auto val="1"/>
        <c:lblAlgn val="ctr"/>
        <c:lblOffset val="100"/>
      </c:catAx>
      <c:valAx>
        <c:axId val="151723392"/>
        <c:scaling>
          <c:orientation val="minMax"/>
        </c:scaling>
        <c:axPos val="l"/>
        <c:majorGridlines/>
        <c:numFmt formatCode="General" sourceLinked="1"/>
        <c:tickLblPos val="nextTo"/>
        <c:crossAx val="151721856"/>
        <c:crosses val="autoZero"/>
        <c:crossBetween val="between"/>
      </c:valAx>
    </c:plotArea>
    <c:legend>
      <c:legendPos val="r"/>
      <c:txPr>
        <a:bodyPr/>
        <a:lstStyle/>
        <a:p>
          <a:pPr>
            <a:defRPr sz="800"/>
          </a:pPr>
          <a:endParaRPr lang="en-US"/>
        </a:p>
      </c:txPr>
    </c:legend>
    <c:plotVisOnly val="1"/>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food store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8.2855268386585923</c:v>
                </c:pt>
                <c:pt idx="1">
                  <c:v>8.2276490159920215</c:v>
                </c:pt>
                <c:pt idx="2">
                  <c:v>8.2703537033396159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7.0936801782653944</c:v>
                </c:pt>
                <c:pt idx="1">
                  <c:v>6.9665319079664298</c:v>
                </c:pt>
                <c:pt idx="2">
                  <c:v>7.0941014650009402</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7.730277317296907</c:v>
                </c:pt>
                <c:pt idx="1">
                  <c:v>7.6536869389061017</c:v>
                </c:pt>
                <c:pt idx="2">
                  <c:v>7.711948821433328</c:v>
                </c:pt>
              </c:numCache>
            </c:numRef>
          </c:val>
        </c:ser>
        <c:ser>
          <c:idx val="3"/>
          <c:order val="3"/>
          <c:tx>
            <c:strRef>
              <c:f>Sheet1!$AA$383</c:f>
              <c:strCache>
                <c:ptCount val="1"/>
                <c:pt idx="0">
                  <c:v>Dorset</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8.0406927656633602</c:v>
                </c:pt>
                <c:pt idx="1">
                  <c:v>8.0337512036805823</c:v>
                </c:pt>
                <c:pt idx="2">
                  <c:v>8.0668266664775299</c:v>
                </c:pt>
              </c:numCache>
            </c:numRef>
          </c:val>
        </c:ser>
        <c:marker val="1"/>
        <c:axId val="151750528"/>
        <c:axId val="151752064"/>
      </c:lineChart>
      <c:catAx>
        <c:axId val="151750528"/>
        <c:scaling>
          <c:orientation val="minMax"/>
        </c:scaling>
        <c:axPos val="b"/>
        <c:numFmt formatCode="General" sourceLinked="1"/>
        <c:tickLblPos val="nextTo"/>
        <c:crossAx val="151752064"/>
        <c:crosses val="autoZero"/>
        <c:auto val="1"/>
        <c:lblAlgn val="ctr"/>
        <c:lblOffset val="100"/>
      </c:catAx>
      <c:valAx>
        <c:axId val="15175206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crossAx val="151750528"/>
        <c:crosses val="autoZero"/>
        <c:crossBetween val="between"/>
      </c:valAx>
    </c:plotArea>
    <c:legend>
      <c:legendPos val="r"/>
      <c:txPr>
        <a:bodyPr/>
        <a:lstStyle/>
        <a:p>
          <a:pPr>
            <a:defRPr sz="800"/>
          </a:pPr>
          <a:endParaRPr lang="en-US"/>
        </a:p>
      </c:txPr>
    </c:legend>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food stores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9.4931799997523942</c:v>
                </c:pt>
                <c:pt idx="1">
                  <c:v>9.9388782365024309</c:v>
                </c:pt>
                <c:pt idx="2">
                  <c:v>9.9419820444444493</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9.4669547133376373</c:v>
                </c:pt>
                <c:pt idx="1">
                  <c:v>9.9956035262133263</c:v>
                </c:pt>
                <c:pt idx="2">
                  <c:v>9.9991019392265201</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9.5262296862002671</c:v>
                </c:pt>
                <c:pt idx="1">
                  <c:v>9.9753376124868378</c:v>
                </c:pt>
                <c:pt idx="2">
                  <c:v>9.9798528518518506</c:v>
                </c:pt>
              </c:numCache>
            </c:numRef>
          </c:val>
        </c:ser>
        <c:ser>
          <c:idx val="3"/>
          <c:order val="3"/>
          <c:tx>
            <c:strRef>
              <c:f>Sheet1!$BH$383</c:f>
              <c:strCache>
                <c:ptCount val="1"/>
                <c:pt idx="0">
                  <c:v>Dorset</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9.5377370895105322</c:v>
                </c:pt>
                <c:pt idx="1">
                  <c:v>9.997891663963669</c:v>
                </c:pt>
                <c:pt idx="2">
                  <c:v>9.9843609999999998</c:v>
                </c:pt>
              </c:numCache>
            </c:numRef>
          </c:val>
        </c:ser>
        <c:axId val="151869696"/>
        <c:axId val="151887872"/>
      </c:barChart>
      <c:catAx>
        <c:axId val="151869696"/>
        <c:scaling>
          <c:orientation val="minMax"/>
        </c:scaling>
        <c:axPos val="b"/>
        <c:numFmt formatCode="General" sourceLinked="1"/>
        <c:tickLblPos val="nextTo"/>
        <c:crossAx val="151887872"/>
        <c:crosses val="autoZero"/>
        <c:auto val="1"/>
        <c:lblAlgn val="ctr"/>
        <c:lblOffset val="100"/>
      </c:catAx>
      <c:valAx>
        <c:axId val="151887872"/>
        <c:scaling>
          <c:orientation val="minMax"/>
        </c:scaling>
        <c:axPos val="l"/>
        <c:majorGridlines/>
        <c:numFmt formatCode="General" sourceLinked="1"/>
        <c:tickLblPos val="nextTo"/>
        <c:crossAx val="151869696"/>
        <c:crosses val="autoZero"/>
        <c:crossBetween val="between"/>
      </c:valAx>
    </c:plotArea>
    <c:legend>
      <c:legendPos val="r"/>
      <c:txPr>
        <a:bodyPr/>
        <a:lstStyle/>
        <a:p>
          <a:pPr>
            <a:defRPr sz="800"/>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strRef>
          <c:f>Sheet1!$AX$379</c:f>
          <c:strCache>
            <c:ptCount val="1"/>
            <c:pt idx="0">
              <c:v>Travel time to nearest employment centre with 500 to 4999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Sheet1!$AX$380</c:f>
              <c:strCache>
                <c:ptCount val="1"/>
                <c:pt idx="0">
                  <c:v>Predominantly Rural average</c:v>
                </c:pt>
              </c:strCache>
            </c:strRef>
          </c:tx>
          <c:spPr>
            <a:ln w="25400">
              <a:solidFill>
                <a:schemeClr val="bg1">
                  <a:lumMod val="65000"/>
                </a:schemeClr>
              </a:solidFill>
            </a:ln>
          </c:spPr>
          <c:marker>
            <c:symbol val="none"/>
          </c:marker>
          <c:cat>
            <c:numRef>
              <c:f>Sheet1!$AY$379:$BA$379</c:f>
              <c:numCache>
                <c:formatCode>General</c:formatCode>
                <c:ptCount val="3"/>
                <c:pt idx="0">
                  <c:v>2014</c:v>
                </c:pt>
                <c:pt idx="1">
                  <c:v>2015</c:v>
                </c:pt>
                <c:pt idx="2">
                  <c:v>2016</c:v>
                </c:pt>
              </c:numCache>
            </c:numRef>
          </c:cat>
          <c:val>
            <c:numRef>
              <c:f>Sheet1!$AY$380:$BA$380</c:f>
              <c:numCache>
                <c:formatCode>General</c:formatCode>
                <c:ptCount val="3"/>
                <c:pt idx="0">
                  <c:v>15.059595452355589</c:v>
                </c:pt>
                <c:pt idx="1">
                  <c:v>14.973611905576357</c:v>
                </c:pt>
                <c:pt idx="2">
                  <c:v>15.165945298149989</c:v>
                </c:pt>
              </c:numCache>
            </c:numRef>
          </c:val>
        </c:ser>
        <c:ser>
          <c:idx val="2"/>
          <c:order val="1"/>
          <c:tx>
            <c:strRef>
              <c:f>Sheet1!$AX$381</c:f>
              <c:strCache>
                <c:ptCount val="1"/>
                <c:pt idx="0">
                  <c:v>Predominantly Urban average</c:v>
                </c:pt>
              </c:strCache>
            </c:strRef>
          </c:tx>
          <c:spPr>
            <a:ln w="25400">
              <a:solidFill>
                <a:schemeClr val="accent6">
                  <a:lumMod val="75000"/>
                </a:schemeClr>
              </a:solidFill>
              <a:prstDash val="sysDash"/>
            </a:ln>
          </c:spPr>
          <c:marker>
            <c:symbol val="none"/>
          </c:marker>
          <c:cat>
            <c:numRef>
              <c:f>Sheet1!$AY$379:$BA$379</c:f>
              <c:numCache>
                <c:formatCode>General</c:formatCode>
                <c:ptCount val="3"/>
                <c:pt idx="0">
                  <c:v>2014</c:v>
                </c:pt>
                <c:pt idx="1">
                  <c:v>2015</c:v>
                </c:pt>
                <c:pt idx="2">
                  <c:v>2016</c:v>
                </c:pt>
              </c:numCache>
            </c:numRef>
          </c:cat>
          <c:val>
            <c:numRef>
              <c:f>Sheet1!$AY$381:$BA$381</c:f>
              <c:numCache>
                <c:formatCode>General</c:formatCode>
                <c:ptCount val="3"/>
                <c:pt idx="0">
                  <c:v>9.6072712179577451</c:v>
                </c:pt>
                <c:pt idx="1">
                  <c:v>9.589761960386447</c:v>
                </c:pt>
                <c:pt idx="2">
                  <c:v>9.764268019744371</c:v>
                </c:pt>
              </c:numCache>
            </c:numRef>
          </c:val>
        </c:ser>
        <c:ser>
          <c:idx val="3"/>
          <c:order val="2"/>
          <c:tx>
            <c:strRef>
              <c:f>Sheet1!$AX$382</c:f>
              <c:strCache>
                <c:ptCount val="1"/>
                <c:pt idx="0">
                  <c:v>Shire County average</c:v>
                </c:pt>
              </c:strCache>
            </c:strRef>
          </c:tx>
          <c:spPr>
            <a:ln w="25400">
              <a:solidFill>
                <a:schemeClr val="accent1">
                  <a:lumMod val="40000"/>
                  <a:lumOff val="60000"/>
                </a:schemeClr>
              </a:solidFill>
              <a:prstDash val="sysDot"/>
            </a:ln>
          </c:spPr>
          <c:marker>
            <c:symbol val="none"/>
          </c:marker>
          <c:cat>
            <c:numRef>
              <c:f>Sheet1!$AY$379:$BA$379</c:f>
              <c:numCache>
                <c:formatCode>General</c:formatCode>
                <c:ptCount val="3"/>
                <c:pt idx="0">
                  <c:v>2014</c:v>
                </c:pt>
                <c:pt idx="1">
                  <c:v>2015</c:v>
                </c:pt>
                <c:pt idx="2">
                  <c:v>2016</c:v>
                </c:pt>
              </c:numCache>
            </c:numRef>
          </c:cat>
          <c:val>
            <c:numRef>
              <c:f>Sheet1!$AY$382:$BA$382</c:f>
              <c:numCache>
                <c:formatCode>General</c:formatCode>
                <c:ptCount val="3"/>
                <c:pt idx="0">
                  <c:v>12.596862678779649</c:v>
                </c:pt>
                <c:pt idx="1">
                  <c:v>12.511166682542418</c:v>
                </c:pt>
                <c:pt idx="2">
                  <c:v>12.65979711571647</c:v>
                </c:pt>
              </c:numCache>
            </c:numRef>
          </c:val>
        </c:ser>
        <c:ser>
          <c:idx val="4"/>
          <c:order val="3"/>
          <c:tx>
            <c:strRef>
              <c:f>Sheet1!$AX$383</c:f>
              <c:strCache>
                <c:ptCount val="1"/>
                <c:pt idx="0">
                  <c:v>Dorset</c:v>
                </c:pt>
              </c:strCache>
            </c:strRef>
          </c:tx>
          <c:spPr>
            <a:ln w="25400">
              <a:solidFill>
                <a:schemeClr val="tx1"/>
              </a:solidFill>
            </a:ln>
          </c:spPr>
          <c:marker>
            <c:symbol val="none"/>
          </c:marker>
          <c:cat>
            <c:numRef>
              <c:f>Sheet1!$AY$379:$BA$379</c:f>
              <c:numCache>
                <c:formatCode>General</c:formatCode>
                <c:ptCount val="3"/>
                <c:pt idx="0">
                  <c:v>2014</c:v>
                </c:pt>
                <c:pt idx="1">
                  <c:v>2015</c:v>
                </c:pt>
                <c:pt idx="2">
                  <c:v>2016</c:v>
                </c:pt>
              </c:numCache>
            </c:numRef>
          </c:cat>
          <c:val>
            <c:numRef>
              <c:f>Sheet1!$AY$383:$BA$383</c:f>
              <c:numCache>
                <c:formatCode>General</c:formatCode>
                <c:ptCount val="3"/>
                <c:pt idx="0">
                  <c:v>13.468535021011904</c:v>
                </c:pt>
                <c:pt idx="1">
                  <c:v>13.2743565747709</c:v>
                </c:pt>
                <c:pt idx="2">
                  <c:v>13.536319588002099</c:v>
                </c:pt>
              </c:numCache>
            </c:numRef>
          </c:val>
        </c:ser>
        <c:marker val="1"/>
        <c:axId val="149681280"/>
        <c:axId val="149682816"/>
      </c:lineChart>
      <c:catAx>
        <c:axId val="149681280"/>
        <c:scaling>
          <c:orientation val="minMax"/>
        </c:scaling>
        <c:axPos val="b"/>
        <c:numFmt formatCode="General" sourceLinked="1"/>
        <c:tickLblPos val="nextTo"/>
        <c:crossAx val="149682816"/>
        <c:crosses val="autoZero"/>
        <c:auto val="1"/>
        <c:lblAlgn val="ctr"/>
        <c:lblOffset val="100"/>
      </c:catAx>
      <c:valAx>
        <c:axId val="149682816"/>
        <c:scaling>
          <c:orientation val="minMax"/>
        </c:scaling>
        <c:axPos val="l"/>
        <c:majorGridlines/>
        <c:title>
          <c:tx>
            <c:strRef>
              <c:f>Sheet1!$AX$384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681280"/>
        <c:crosses val="autoZero"/>
        <c:crossBetween val="between"/>
      </c:valAx>
    </c:plotArea>
    <c:legend>
      <c:legendPos val="r"/>
      <c:txPr>
        <a:bodyPr/>
        <a:lstStyle/>
        <a:p>
          <a:pPr>
            <a:defRPr sz="800"/>
          </a:pPr>
          <a:endParaRPr lang="en-US"/>
        </a:p>
      </c:txPr>
    </c:legend>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town centre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25.887066691248631</c:v>
                </c:pt>
                <c:pt idx="1">
                  <c:v>27.415655140046823</c:v>
                </c:pt>
                <c:pt idx="2">
                  <c:v>27.63970520931538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17.961397931543786</c:v>
                </c:pt>
                <c:pt idx="1">
                  <c:v>18.070103158071223</c:v>
                </c:pt>
                <c:pt idx="2">
                  <c:v>18.298539782713693</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22.559768724744806</c:v>
                </c:pt>
                <c:pt idx="1">
                  <c:v>23.458876777752327</c:v>
                </c:pt>
                <c:pt idx="2">
                  <c:v>23.699790028000535</c:v>
                </c:pt>
              </c:numCache>
            </c:numRef>
          </c:val>
        </c:ser>
        <c:ser>
          <c:idx val="3"/>
          <c:order val="3"/>
          <c:tx>
            <c:strRef>
              <c:f>Sheet1!$E$383</c:f>
              <c:strCache>
                <c:ptCount val="1"/>
                <c:pt idx="0">
                  <c:v>Dorset</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23.440466764763489</c:v>
                </c:pt>
                <c:pt idx="1">
                  <c:v>25.105784483707087</c:v>
                </c:pt>
                <c:pt idx="2">
                  <c:v>24.757115852079288</c:v>
                </c:pt>
              </c:numCache>
            </c:numRef>
          </c:val>
        </c:ser>
        <c:marker val="1"/>
        <c:axId val="151783680"/>
        <c:axId val="151789568"/>
      </c:lineChart>
      <c:catAx>
        <c:axId val="151783680"/>
        <c:scaling>
          <c:orientation val="minMax"/>
        </c:scaling>
        <c:axPos val="b"/>
        <c:numFmt formatCode="General" sourceLinked="1"/>
        <c:tickLblPos val="nextTo"/>
        <c:crossAx val="151789568"/>
        <c:crosses val="autoZero"/>
        <c:auto val="1"/>
        <c:lblAlgn val="ctr"/>
        <c:lblOffset val="100"/>
      </c:catAx>
      <c:valAx>
        <c:axId val="15178956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783680"/>
        <c:crosses val="autoZero"/>
        <c:crossBetween val="between"/>
      </c:valAx>
    </c:plotArea>
    <c:legend>
      <c:legendPos val="r"/>
      <c:txPr>
        <a:bodyPr/>
        <a:lstStyle/>
        <a:p>
          <a:pPr>
            <a:defRPr sz="800"/>
          </a:pPr>
          <a:endParaRPr lang="en-US"/>
        </a:p>
      </c:txPr>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town centres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0.91845196391245387</c:v>
                </c:pt>
                <c:pt idx="1">
                  <c:v>0.89391061267021255</c:v>
                </c:pt>
                <c:pt idx="2">
                  <c:v>1.25220318888889</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3.0962050253726767</c:v>
                </c:pt>
                <c:pt idx="1">
                  <c:v>3.0546176818692965</c:v>
                </c:pt>
                <c:pt idx="2">
                  <c:v>3.668621933701655</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1.3714363263089795</c:v>
                </c:pt>
                <c:pt idx="1">
                  <c:v>1.3428849377758361</c:v>
                </c:pt>
                <c:pt idx="2">
                  <c:v>1.7936845555555558</c:v>
                </c:pt>
              </c:numCache>
            </c:numRef>
          </c:val>
        </c:ser>
        <c:ser>
          <c:idx val="3"/>
          <c:order val="3"/>
          <c:tx>
            <c:strRef>
              <c:f>Sheet1!$AL$383</c:f>
              <c:strCache>
                <c:ptCount val="1"/>
                <c:pt idx="0">
                  <c:v>Dorset</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1.23839343436004</c:v>
                </c:pt>
                <c:pt idx="1">
                  <c:v>1.1721429343712826</c:v>
                </c:pt>
                <c:pt idx="2">
                  <c:v>1.5976339999999998</c:v>
                </c:pt>
              </c:numCache>
            </c:numRef>
          </c:val>
        </c:ser>
        <c:axId val="151841408"/>
        <c:axId val="151847296"/>
      </c:barChart>
      <c:catAx>
        <c:axId val="151841408"/>
        <c:scaling>
          <c:orientation val="minMax"/>
        </c:scaling>
        <c:axPos val="b"/>
        <c:numFmt formatCode="General" sourceLinked="1"/>
        <c:tickLblPos val="nextTo"/>
        <c:crossAx val="151847296"/>
        <c:crosses val="autoZero"/>
        <c:auto val="1"/>
        <c:lblAlgn val="ctr"/>
        <c:lblOffset val="100"/>
      </c:catAx>
      <c:valAx>
        <c:axId val="151847296"/>
        <c:scaling>
          <c:orientation val="minMax"/>
        </c:scaling>
        <c:axPos val="l"/>
        <c:majorGridlines/>
        <c:numFmt formatCode="General" sourceLinked="1"/>
        <c:tickLblPos val="nextTo"/>
        <c:txPr>
          <a:bodyPr/>
          <a:lstStyle/>
          <a:p>
            <a:pPr>
              <a:defRPr sz="800"/>
            </a:pPr>
            <a:endParaRPr lang="en-US"/>
          </a:p>
        </c:txPr>
        <c:crossAx val="151841408"/>
        <c:crosses val="autoZero"/>
        <c:crossBetween val="between"/>
      </c:valAx>
    </c:plotArea>
    <c:legend>
      <c:legendPos val="r"/>
      <c:txPr>
        <a:bodyPr/>
        <a:lstStyle/>
        <a:p>
          <a:pPr>
            <a:defRPr sz="800"/>
          </a:pPr>
          <a:endParaRPr lang="en-US"/>
        </a:p>
      </c:txPr>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town centre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25.367412169568478</c:v>
                </c:pt>
                <c:pt idx="1">
                  <c:v>25.363241989400123</c:v>
                </c:pt>
                <c:pt idx="2">
                  <c:v>25.386577655748759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14.755380504948127</c:v>
                </c:pt>
                <c:pt idx="1">
                  <c:v>14.768894290337089</c:v>
                </c:pt>
                <c:pt idx="2">
                  <c:v>14.839606160573835</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20.701352483636757</c:v>
                </c:pt>
                <c:pt idx="1">
                  <c:v>20.714407953447314</c:v>
                </c:pt>
                <c:pt idx="2">
                  <c:v>12.901256191150988</c:v>
                </c:pt>
              </c:numCache>
            </c:numRef>
          </c:val>
        </c:ser>
        <c:ser>
          <c:idx val="3"/>
          <c:order val="3"/>
          <c:tx>
            <c:strRef>
              <c:f>Sheet1!$P$383</c:f>
              <c:strCache>
                <c:ptCount val="1"/>
                <c:pt idx="0">
                  <c:v>Dorset</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21.7609980538538</c:v>
                </c:pt>
                <c:pt idx="1">
                  <c:v>21.834797532008999</c:v>
                </c:pt>
                <c:pt idx="2">
                  <c:v>12.622437484333799</c:v>
                </c:pt>
              </c:numCache>
            </c:numRef>
          </c:val>
        </c:ser>
        <c:marker val="1"/>
        <c:axId val="151931520"/>
        <c:axId val="151949696"/>
      </c:lineChart>
      <c:catAx>
        <c:axId val="151931520"/>
        <c:scaling>
          <c:orientation val="minMax"/>
        </c:scaling>
        <c:axPos val="b"/>
        <c:numFmt formatCode="General" sourceLinked="1"/>
        <c:tickLblPos val="nextTo"/>
        <c:crossAx val="151949696"/>
        <c:crosses val="autoZero"/>
        <c:auto val="1"/>
        <c:lblAlgn val="ctr"/>
        <c:lblOffset val="100"/>
      </c:catAx>
      <c:valAx>
        <c:axId val="15194969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931520"/>
        <c:crosses val="autoZero"/>
        <c:crossBetween val="between"/>
      </c:valAx>
    </c:plotArea>
    <c:legend>
      <c:legendPos val="r"/>
      <c:txPr>
        <a:bodyPr/>
        <a:lstStyle/>
        <a:p>
          <a:pPr>
            <a:defRPr sz="800"/>
          </a:pPr>
          <a:endParaRPr lang="en-US"/>
        </a:p>
      </c:txPr>
    </c:legend>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town centres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0.75649301268219604</c:v>
                </c:pt>
                <c:pt idx="1">
                  <c:v>0.75812888256698963</c:v>
                </c:pt>
                <c:pt idx="2">
                  <c:v>0.75436439999999949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4.0592024712475414</c:v>
                </c:pt>
                <c:pt idx="1">
                  <c:v>4.0531335393263177</c:v>
                </c:pt>
                <c:pt idx="2">
                  <c:v>4.0317282044198928</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1.4104713399263611</c:v>
                </c:pt>
                <c:pt idx="1">
                  <c:v>1.4110423607751992</c:v>
                </c:pt>
                <c:pt idx="2">
                  <c:v>1.4017242222222206</c:v>
                </c:pt>
              </c:numCache>
            </c:numRef>
          </c:val>
        </c:ser>
        <c:ser>
          <c:idx val="3"/>
          <c:order val="3"/>
          <c:tx>
            <c:strRef>
              <c:f>Sheet1!$AW$383</c:f>
              <c:strCache>
                <c:ptCount val="1"/>
                <c:pt idx="0">
                  <c:v>Dorset</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1.1066204266789401</c:v>
                </c:pt>
                <c:pt idx="1">
                  <c:v>1.09358309006379</c:v>
                </c:pt>
                <c:pt idx="2">
                  <c:v>1.0983550000000009</c:v>
                </c:pt>
              </c:numCache>
            </c:numRef>
          </c:val>
        </c:ser>
        <c:axId val="151976960"/>
        <c:axId val="151982848"/>
      </c:barChart>
      <c:catAx>
        <c:axId val="151976960"/>
        <c:scaling>
          <c:orientation val="minMax"/>
        </c:scaling>
        <c:axPos val="b"/>
        <c:numFmt formatCode="General" sourceLinked="1"/>
        <c:tickLblPos val="nextTo"/>
        <c:crossAx val="151982848"/>
        <c:crosses val="autoZero"/>
        <c:auto val="1"/>
        <c:lblAlgn val="ctr"/>
        <c:lblOffset val="100"/>
      </c:catAx>
      <c:valAx>
        <c:axId val="151982848"/>
        <c:scaling>
          <c:orientation val="minMax"/>
        </c:scaling>
        <c:axPos val="l"/>
        <c:majorGridlines/>
        <c:numFmt formatCode="General" sourceLinked="1"/>
        <c:tickLblPos val="nextTo"/>
        <c:txPr>
          <a:bodyPr/>
          <a:lstStyle/>
          <a:p>
            <a:pPr>
              <a:defRPr sz="800"/>
            </a:pPr>
            <a:endParaRPr lang="en-US"/>
          </a:p>
        </c:txPr>
        <c:crossAx val="151976960"/>
        <c:crosses val="autoZero"/>
        <c:crossBetween val="between"/>
      </c:valAx>
    </c:plotArea>
    <c:legend>
      <c:legendPos val="r"/>
      <c:txPr>
        <a:bodyPr/>
        <a:lstStyle/>
        <a:p>
          <a:pPr>
            <a:defRPr sz="800"/>
          </a:pPr>
          <a:endParaRPr lang="en-US"/>
        </a:p>
      </c:txPr>
    </c:legend>
    <c:plotVisOnly val="1"/>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town centre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13.676523362647442</c:v>
                </c:pt>
                <c:pt idx="1">
                  <c:v>13.525411919796298</c:v>
                </c:pt>
                <c:pt idx="2">
                  <c:v>13.867963510066117</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11.165200868457704</c:v>
                </c:pt>
                <c:pt idx="1">
                  <c:v>10.733508101576341</c:v>
                </c:pt>
                <c:pt idx="2">
                  <c:v>11.447169338369884</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12.687086829249976</c:v>
                </c:pt>
                <c:pt idx="1">
                  <c:v>12.407457925549116</c:v>
                </c:pt>
                <c:pt idx="2">
                  <c:v>12.901256191150988</c:v>
                </c:pt>
              </c:numCache>
            </c:numRef>
          </c:val>
        </c:ser>
        <c:ser>
          <c:idx val="3"/>
          <c:order val="3"/>
          <c:tx>
            <c:strRef>
              <c:f>Sheet1!$AA$383</c:f>
              <c:strCache>
                <c:ptCount val="1"/>
                <c:pt idx="0">
                  <c:v>Dorset</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12.6104180254895</c:v>
                </c:pt>
                <c:pt idx="1">
                  <c:v>12.6405213584083</c:v>
                </c:pt>
                <c:pt idx="2">
                  <c:v>12.622437484333799</c:v>
                </c:pt>
              </c:numCache>
            </c:numRef>
          </c:val>
        </c:ser>
        <c:marker val="1"/>
        <c:axId val="152009728"/>
        <c:axId val="152027904"/>
      </c:lineChart>
      <c:catAx>
        <c:axId val="152009728"/>
        <c:scaling>
          <c:orientation val="minMax"/>
        </c:scaling>
        <c:axPos val="b"/>
        <c:numFmt formatCode="General" sourceLinked="1"/>
        <c:tickLblPos val="nextTo"/>
        <c:crossAx val="152027904"/>
        <c:crosses val="autoZero"/>
        <c:auto val="1"/>
        <c:lblAlgn val="ctr"/>
        <c:lblOffset val="100"/>
      </c:catAx>
      <c:valAx>
        <c:axId val="15202790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009728"/>
        <c:crosses val="autoZero"/>
        <c:crossBetween val="between"/>
      </c:valAx>
    </c:plotArea>
    <c:legend>
      <c:legendPos val="r"/>
      <c:txPr>
        <a:bodyPr/>
        <a:lstStyle/>
        <a:p>
          <a:pPr>
            <a:defRPr sz="800"/>
          </a:pPr>
          <a:endParaRPr lang="en-US"/>
        </a:p>
      </c:txPr>
    </c:legend>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town centres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4.8627499002286276</c:v>
                </c:pt>
                <c:pt idx="1">
                  <c:v>4.4260641064383712</c:v>
                </c:pt>
                <c:pt idx="2">
                  <c:v>4.2493166999999996</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8.8903210598189375</c:v>
                </c:pt>
                <c:pt idx="1">
                  <c:v>8.639822935220355</c:v>
                </c:pt>
                <c:pt idx="2">
                  <c:v>8.3426993038674162</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6.2997386229810504</c:v>
                </c:pt>
                <c:pt idx="1">
                  <c:v>5.84586025784811</c:v>
                </c:pt>
                <c:pt idx="2">
                  <c:v>5.6149909259259232</c:v>
                </c:pt>
              </c:numCache>
            </c:numRef>
          </c:val>
        </c:ser>
        <c:ser>
          <c:idx val="3"/>
          <c:order val="3"/>
          <c:tx>
            <c:strRef>
              <c:f>Sheet1!$BH$383</c:f>
              <c:strCache>
                <c:ptCount val="1"/>
                <c:pt idx="0">
                  <c:v>Dorset</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5.1814426437877303</c:v>
                </c:pt>
                <c:pt idx="1">
                  <c:v>4.9970321115796335</c:v>
                </c:pt>
                <c:pt idx="2">
                  <c:v>4.7934489999999998</c:v>
                </c:pt>
              </c:numCache>
            </c:numRef>
          </c:val>
        </c:ser>
        <c:axId val="152063360"/>
        <c:axId val="152073344"/>
      </c:barChart>
      <c:catAx>
        <c:axId val="152063360"/>
        <c:scaling>
          <c:orientation val="minMax"/>
        </c:scaling>
        <c:axPos val="b"/>
        <c:numFmt formatCode="General" sourceLinked="1"/>
        <c:tickLblPos val="nextTo"/>
        <c:crossAx val="152073344"/>
        <c:crosses val="autoZero"/>
        <c:auto val="1"/>
        <c:lblAlgn val="ctr"/>
        <c:lblOffset val="100"/>
      </c:catAx>
      <c:valAx>
        <c:axId val="152073344"/>
        <c:scaling>
          <c:orientation val="minMax"/>
        </c:scaling>
        <c:axPos val="l"/>
        <c:majorGridlines/>
        <c:numFmt formatCode="General" sourceLinked="1"/>
        <c:tickLblPos val="nextTo"/>
        <c:txPr>
          <a:bodyPr/>
          <a:lstStyle/>
          <a:p>
            <a:pPr>
              <a:defRPr sz="800"/>
            </a:pPr>
            <a:endParaRPr lang="en-US"/>
          </a:p>
        </c:txPr>
        <c:crossAx val="152063360"/>
        <c:crosses val="autoZero"/>
        <c:crossBetween val="between"/>
      </c:valAx>
    </c:plotArea>
    <c:legend>
      <c:legendPos val="r"/>
      <c:txPr>
        <a:bodyPr/>
        <a:lstStyle/>
        <a:p>
          <a:pPr>
            <a:defRPr sz="800"/>
          </a:pPr>
          <a:endParaRPr lang="en-US"/>
        </a:p>
      </c:txPr>
    </c:legend>
    <c:plotVisOnly val="1"/>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Motor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Sheet1!$C$180</c:f>
              <c:strCache>
                <c:ptCount val="1"/>
                <c:pt idx="0">
                  <c:v>Dorset</c:v>
                </c:pt>
              </c:strCache>
            </c:strRef>
          </c:tx>
          <c:spPr>
            <a:ln w="25400">
              <a:solidFill>
                <a:schemeClr val="tx1"/>
              </a:solidFill>
            </a:ln>
          </c:spPr>
          <c:marker>
            <c:symbol val="none"/>
          </c:marker>
          <c:cat>
            <c:numRef>
              <c:f>Sheet1!$D$176:$H$176</c:f>
              <c:numCache>
                <c:formatCode>General</c:formatCode>
                <c:ptCount val="5"/>
                <c:pt idx="0">
                  <c:v>2012</c:v>
                </c:pt>
                <c:pt idx="1">
                  <c:v>2013</c:v>
                </c:pt>
                <c:pt idx="2">
                  <c:v>2014</c:v>
                </c:pt>
                <c:pt idx="3">
                  <c:v>2015</c:v>
                </c:pt>
                <c:pt idx="4">
                  <c:v>2016</c:v>
                </c:pt>
              </c:numCache>
            </c:numRef>
          </c:cat>
          <c:val>
            <c:numRef>
              <c:f>Sheet1!$D$180:$H$180</c:f>
              <c:numCache>
                <c:formatCode>General</c:formatCode>
                <c:ptCount val="5"/>
                <c:pt idx="0">
                  <c:v>2298</c:v>
                </c:pt>
                <c:pt idx="1">
                  <c:v>2334</c:v>
                </c:pt>
                <c:pt idx="2">
                  <c:v>2396</c:v>
                </c:pt>
                <c:pt idx="3">
                  <c:v>2434</c:v>
                </c:pt>
                <c:pt idx="4">
                  <c:v>2490</c:v>
                </c:pt>
              </c:numCache>
            </c:numRef>
          </c:val>
        </c:ser>
        <c:marker val="1"/>
        <c:axId val="152110208"/>
        <c:axId val="152111744"/>
      </c:lineChart>
      <c:catAx>
        <c:axId val="152110208"/>
        <c:scaling>
          <c:orientation val="minMax"/>
        </c:scaling>
        <c:axPos val="b"/>
        <c:numFmt formatCode="General" sourceLinked="1"/>
        <c:tickLblPos val="nextTo"/>
        <c:crossAx val="152111744"/>
        <c:crosses val="autoZero"/>
        <c:auto val="1"/>
        <c:lblAlgn val="ctr"/>
        <c:lblOffset val="100"/>
      </c:catAx>
      <c:valAx>
        <c:axId val="152111744"/>
        <c:scaling>
          <c:orientation val="minMax"/>
        </c:scaling>
        <c:axPos val="l"/>
        <c:majorGridlines/>
        <c:title>
          <c:tx>
            <c:strRef>
              <c:f>Sheet1!$D$175</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110208"/>
        <c:crosses val="autoZero"/>
        <c:crossBetween val="between"/>
      </c:valAx>
    </c:plotArea>
    <c:legend>
      <c:legendPos val="r"/>
      <c:txPr>
        <a:bodyPr/>
        <a:lstStyle/>
        <a:p>
          <a:pPr>
            <a:defRPr sz="900"/>
          </a:pPr>
          <a:endParaRPr lang="en-US"/>
        </a:p>
      </c:txPr>
    </c:legend>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lang val="en-GB"/>
  <c:chart>
    <c:title>
      <c:tx>
        <c:strRef>
          <c:f>Sheet1!$Q$176</c:f>
          <c:strCache>
            <c:ptCount val="1"/>
            <c:pt idx="0">
              <c:v>Motor vehicle traffic (vehicle miles per head of population)</c:v>
            </c:pt>
          </c:strCache>
        </c:strRef>
      </c:tx>
      <c:txPr>
        <a:bodyPr/>
        <a:lstStyle/>
        <a:p>
          <a:pPr>
            <a:defRPr sz="800">
              <a:latin typeface="Segoe UI" pitchFamily="34" charset="0"/>
              <a:cs typeface="Segoe UI" pitchFamily="34" charset="0"/>
            </a:defRPr>
          </a:pPr>
          <a:endParaRPr lang="en-US"/>
        </a:p>
      </c:txPr>
    </c:title>
    <c:plotArea>
      <c:layout/>
      <c:barChart>
        <c:barDir val="col"/>
        <c:grouping val="clustered"/>
        <c:ser>
          <c:idx val="3"/>
          <c:order val="3"/>
          <c:tx>
            <c:strRef>
              <c:f>Sheet1!$Q$180</c:f>
              <c:strCache>
                <c:ptCount val="1"/>
                <c:pt idx="0">
                  <c:v>Dorset</c:v>
                </c:pt>
              </c:strCache>
            </c:strRef>
          </c:tx>
          <c:spPr>
            <a:solidFill>
              <a:schemeClr val="tx1"/>
            </a:solidFill>
          </c:spPr>
          <c:val>
            <c:numRef>
              <c:f>Sheet1!$R$180:$V$180</c:f>
              <c:numCache>
                <c:formatCode>General</c:formatCode>
                <c:ptCount val="5"/>
                <c:pt idx="0">
                  <c:v>5537.8164423505614</c:v>
                </c:pt>
                <c:pt idx="1">
                  <c:v>5596.7867633834903</c:v>
                </c:pt>
                <c:pt idx="2">
                  <c:v>5725.2364407954155</c:v>
                </c:pt>
                <c:pt idx="3">
                  <c:v>5783.5745532224273</c:v>
                </c:pt>
                <c:pt idx="4">
                  <c:v>5887.4573514008125</c:v>
                </c:pt>
              </c:numCache>
            </c:numRef>
          </c:val>
        </c:ser>
        <c:axId val="152143744"/>
        <c:axId val="152145280"/>
      </c:barChart>
      <c:lineChart>
        <c:grouping val="standard"/>
        <c:ser>
          <c:idx val="0"/>
          <c:order val="0"/>
          <c:tx>
            <c:strRef>
              <c:f>Sheet1!$Q$177</c:f>
              <c:strCache>
                <c:ptCount val="1"/>
                <c:pt idx="0">
                  <c:v>Predominantly Rural average</c:v>
                </c:pt>
              </c:strCache>
            </c:strRef>
          </c:tx>
          <c:spPr>
            <a:ln w="25400">
              <a:solidFill>
                <a:schemeClr val="bg1">
                  <a:lumMod val="75000"/>
                </a:schemeClr>
              </a:solidFill>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Sheet1!$R$177:$V$177</c:f>
              <c:numCache>
                <c:formatCode>General</c:formatCode>
                <c:ptCount val="5"/>
                <c:pt idx="0">
                  <c:v>6046.1148483450106</c:v>
                </c:pt>
                <c:pt idx="1">
                  <c:v>6086.0762997726633</c:v>
                </c:pt>
                <c:pt idx="2">
                  <c:v>6197.0944759948761</c:v>
                </c:pt>
                <c:pt idx="3">
                  <c:v>6293.2101676105158</c:v>
                </c:pt>
                <c:pt idx="4">
                  <c:v>6402.9069423008605</c:v>
                </c:pt>
              </c:numCache>
            </c:numRef>
          </c:val>
        </c:ser>
        <c:ser>
          <c:idx val="1"/>
          <c:order val="1"/>
          <c:tx>
            <c:strRef>
              <c:f>Sheet1!$Q$178</c:f>
              <c:strCache>
                <c:ptCount val="1"/>
                <c:pt idx="0">
                  <c:v>Predominantly Urban average</c:v>
                </c:pt>
              </c:strCache>
            </c:strRef>
          </c:tx>
          <c:spPr>
            <a:ln w="25400">
              <a:solidFill>
                <a:schemeClr val="accent6">
                  <a:lumMod val="75000"/>
                </a:schemeClr>
              </a:solidFill>
              <a:prstDash val="sysDash"/>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Sheet1!$R$178:$V$178</c:f>
              <c:numCache>
                <c:formatCode>General</c:formatCode>
                <c:ptCount val="5"/>
                <c:pt idx="0">
                  <c:v>3811.7667006883617</c:v>
                </c:pt>
                <c:pt idx="1">
                  <c:v>3776.7483995031757</c:v>
                </c:pt>
                <c:pt idx="2">
                  <c:v>3836.3106711409268</c:v>
                </c:pt>
                <c:pt idx="3">
                  <c:v>3842.4564727545512</c:v>
                </c:pt>
                <c:pt idx="4">
                  <c:v>3882.2802241691484</c:v>
                </c:pt>
              </c:numCache>
            </c:numRef>
          </c:val>
        </c:ser>
        <c:ser>
          <c:idx val="2"/>
          <c:order val="2"/>
          <c:tx>
            <c:strRef>
              <c:f>Sheet1!$Q$179</c:f>
              <c:strCache>
                <c:ptCount val="1"/>
                <c:pt idx="0">
                  <c:v>Shire County average</c:v>
                </c:pt>
              </c:strCache>
            </c:strRef>
          </c:tx>
          <c:spPr>
            <a:ln w="25400">
              <a:solidFill>
                <a:schemeClr val="accent1">
                  <a:lumMod val="60000"/>
                  <a:lumOff val="40000"/>
                </a:schemeClr>
              </a:solidFill>
              <a:prstDash val="sysDot"/>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Sheet1!$R$179:$V$179</c:f>
              <c:numCache>
                <c:formatCode>General</c:formatCode>
                <c:ptCount val="5"/>
                <c:pt idx="0">
                  <c:v>6378.4468264721954</c:v>
                </c:pt>
                <c:pt idx="1">
                  <c:v>6374.5049113958239</c:v>
                </c:pt>
                <c:pt idx="2">
                  <c:v>6492.4690598376183</c:v>
                </c:pt>
                <c:pt idx="3">
                  <c:v>6584.9875440266815</c:v>
                </c:pt>
                <c:pt idx="4">
                  <c:v>6680.1987383262085</c:v>
                </c:pt>
              </c:numCache>
            </c:numRef>
          </c:val>
        </c:ser>
        <c:marker val="1"/>
        <c:axId val="152143744"/>
        <c:axId val="152145280"/>
      </c:lineChart>
      <c:catAx>
        <c:axId val="152143744"/>
        <c:scaling>
          <c:orientation val="minMax"/>
        </c:scaling>
        <c:axPos val="b"/>
        <c:tickLblPos val="nextTo"/>
        <c:crossAx val="152145280"/>
        <c:crosses val="autoZero"/>
        <c:auto val="1"/>
        <c:lblAlgn val="ctr"/>
        <c:lblOffset val="100"/>
      </c:catAx>
      <c:valAx>
        <c:axId val="152145280"/>
        <c:scaling>
          <c:orientation val="minMax"/>
        </c:scaling>
        <c:axPos val="l"/>
        <c:majorGridlines/>
        <c:title>
          <c:tx>
            <c:strRef>
              <c:f>Sheet1!$R$175</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14374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en-GB"/>
  <c:chart>
    <c:title>
      <c:tx>
        <c:strRef>
          <c:f>Sheet1!$C$375</c:f>
          <c:strCache>
            <c:ptCount val="1"/>
            <c:pt idx="0">
              <c:v>Car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Sheet1!$C$379</c:f>
              <c:strCache>
                <c:ptCount val="1"/>
                <c:pt idx="0">
                  <c:v>Dorset</c:v>
                </c:pt>
              </c:strCache>
            </c:strRef>
          </c:tx>
          <c:spPr>
            <a:ln w="25400">
              <a:solidFill>
                <a:schemeClr val="tx1"/>
              </a:solidFill>
            </a:ln>
          </c:spPr>
          <c:marker>
            <c:symbol val="none"/>
          </c:marker>
          <c:cat>
            <c:numRef>
              <c:f>Sheet1!$D$375:$H$375</c:f>
              <c:numCache>
                <c:formatCode>General</c:formatCode>
                <c:ptCount val="5"/>
                <c:pt idx="0">
                  <c:v>2012</c:v>
                </c:pt>
                <c:pt idx="1">
                  <c:v>2013</c:v>
                </c:pt>
                <c:pt idx="2">
                  <c:v>2014</c:v>
                </c:pt>
                <c:pt idx="3">
                  <c:v>2015</c:v>
                </c:pt>
                <c:pt idx="4">
                  <c:v>2016</c:v>
                </c:pt>
              </c:numCache>
            </c:numRef>
          </c:cat>
          <c:val>
            <c:numRef>
              <c:f>Sheet1!$D$379:$H$379</c:f>
              <c:numCache>
                <c:formatCode>General</c:formatCode>
                <c:ptCount val="5"/>
                <c:pt idx="0">
                  <c:v>1830</c:v>
                </c:pt>
                <c:pt idx="1">
                  <c:v>1854</c:v>
                </c:pt>
                <c:pt idx="2">
                  <c:v>1893</c:v>
                </c:pt>
                <c:pt idx="3">
                  <c:v>1913</c:v>
                </c:pt>
                <c:pt idx="4">
                  <c:v>1949</c:v>
                </c:pt>
              </c:numCache>
            </c:numRef>
          </c:val>
        </c:ser>
        <c:marker val="1"/>
        <c:axId val="152182784"/>
        <c:axId val="152184320"/>
      </c:lineChart>
      <c:catAx>
        <c:axId val="152182784"/>
        <c:scaling>
          <c:orientation val="minMax"/>
        </c:scaling>
        <c:axPos val="b"/>
        <c:numFmt formatCode="General" sourceLinked="1"/>
        <c:tickLblPos val="nextTo"/>
        <c:crossAx val="152184320"/>
        <c:crosses val="autoZero"/>
        <c:auto val="1"/>
        <c:lblAlgn val="ctr"/>
        <c:lblOffset val="100"/>
      </c:catAx>
      <c:valAx>
        <c:axId val="152184320"/>
        <c:scaling>
          <c:orientation val="minMax"/>
        </c:scaling>
        <c:axPos val="l"/>
        <c:majorGridlines/>
        <c:title>
          <c:tx>
            <c:strRef>
              <c:f>Sheet1!$D$374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182784"/>
        <c:crosses val="autoZero"/>
        <c:crossBetween val="between"/>
      </c:valAx>
    </c:plotArea>
    <c:legend>
      <c:legendPos val="r"/>
      <c:txPr>
        <a:bodyPr/>
        <a:lstStyle/>
        <a:p>
          <a:pPr>
            <a:defRPr sz="900"/>
          </a:pPr>
          <a:endParaRPr lang="en-US"/>
        </a:p>
      </c:txPr>
    </c:legend>
    <c:plotVisOnly val="1"/>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lang val="en-GB"/>
  <c:chart>
    <c:title>
      <c:tx>
        <c:strRef>
          <c:f>Sheet1!$Q$375</c:f>
          <c:strCache>
            <c:ptCount val="1"/>
            <c:pt idx="0">
              <c:v>Car vehicle traffic (vehicle miles per head of population)</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Sheet1!$Q$379</c:f>
              <c:strCache>
                <c:ptCount val="1"/>
                <c:pt idx="0">
                  <c:v>Dorset</c:v>
                </c:pt>
              </c:strCache>
            </c:strRef>
          </c:tx>
          <c:spPr>
            <a:solidFill>
              <a:schemeClr val="tx1"/>
            </a:solidFill>
          </c:spPr>
          <c:cat>
            <c:numRef>
              <c:f>Sheet1!$R$375:$V$375</c:f>
              <c:numCache>
                <c:formatCode>General</c:formatCode>
                <c:ptCount val="5"/>
                <c:pt idx="0">
                  <c:v>2012</c:v>
                </c:pt>
                <c:pt idx="1">
                  <c:v>2013</c:v>
                </c:pt>
                <c:pt idx="2">
                  <c:v>2014</c:v>
                </c:pt>
                <c:pt idx="3">
                  <c:v>2015</c:v>
                </c:pt>
                <c:pt idx="4">
                  <c:v>2016</c:v>
                </c:pt>
              </c:numCache>
            </c:numRef>
          </c:cat>
          <c:val>
            <c:numRef>
              <c:f>Sheet1!$R$379:$V$379</c:f>
              <c:numCache>
                <c:formatCode>General</c:formatCode>
                <c:ptCount val="5"/>
                <c:pt idx="0">
                  <c:v>4410.0104828118037</c:v>
                </c:pt>
                <c:pt idx="1">
                  <c:v>4445.7766320963974</c:v>
                </c:pt>
                <c:pt idx="2">
                  <c:v>4523.319107857149</c:v>
                </c:pt>
                <c:pt idx="3">
                  <c:v>4545.5949549361167</c:v>
                </c:pt>
                <c:pt idx="4">
                  <c:v>4608.2949308755788</c:v>
                </c:pt>
              </c:numCache>
            </c:numRef>
          </c:val>
        </c:ser>
        <c:axId val="152232704"/>
        <c:axId val="152234240"/>
      </c:barChart>
      <c:lineChart>
        <c:grouping val="standard"/>
        <c:ser>
          <c:idx val="0"/>
          <c:order val="0"/>
          <c:tx>
            <c:strRef>
              <c:f>Sheet1!$Q$376</c:f>
              <c:strCache>
                <c:ptCount val="1"/>
                <c:pt idx="0">
                  <c:v>Predominantly Rural average</c:v>
                </c:pt>
              </c:strCache>
            </c:strRef>
          </c:tx>
          <c:spPr>
            <a:ln w="25400">
              <a:solidFill>
                <a:schemeClr val="bg1">
                  <a:lumMod val="75000"/>
                </a:schemeClr>
              </a:solidFill>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Sheet1!$R$376:$V$376</c:f>
              <c:numCache>
                <c:formatCode>General</c:formatCode>
                <c:ptCount val="5"/>
                <c:pt idx="0">
                  <c:v>4713.7153011759792</c:v>
                </c:pt>
                <c:pt idx="1">
                  <c:v>4724.1366585373344</c:v>
                </c:pt>
                <c:pt idx="2">
                  <c:v>4789.3435393026548</c:v>
                </c:pt>
                <c:pt idx="3">
                  <c:v>4827.2398093495622</c:v>
                </c:pt>
                <c:pt idx="4">
                  <c:v>4898.1674382201991</c:v>
                </c:pt>
              </c:numCache>
            </c:numRef>
          </c:val>
        </c:ser>
        <c:ser>
          <c:idx val="1"/>
          <c:order val="1"/>
          <c:tx>
            <c:strRef>
              <c:f>Sheet1!$Q$377</c:f>
              <c:strCache>
                <c:ptCount val="1"/>
                <c:pt idx="0">
                  <c:v>Predominantly Urban average</c:v>
                </c:pt>
              </c:strCache>
            </c:strRef>
          </c:tx>
          <c:spPr>
            <a:ln w="25400">
              <a:solidFill>
                <a:schemeClr val="accent6">
                  <a:lumMod val="75000"/>
                </a:schemeClr>
              </a:solidFill>
              <a:prstDash val="sysDash"/>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Sheet1!$R$377:$V$377</c:f>
              <c:numCache>
                <c:formatCode>General</c:formatCode>
                <c:ptCount val="5"/>
                <c:pt idx="0">
                  <c:v>3068.8377094066645</c:v>
                </c:pt>
                <c:pt idx="1">
                  <c:v>3028.2813919836517</c:v>
                </c:pt>
                <c:pt idx="2">
                  <c:v>3057.3155548698851</c:v>
                </c:pt>
                <c:pt idx="3">
                  <c:v>3050.8708260952349</c:v>
                </c:pt>
                <c:pt idx="4">
                  <c:v>3079.1184299296328</c:v>
                </c:pt>
              </c:numCache>
            </c:numRef>
          </c:val>
        </c:ser>
        <c:ser>
          <c:idx val="2"/>
          <c:order val="2"/>
          <c:tx>
            <c:strRef>
              <c:f>Sheet1!$Q$378</c:f>
              <c:strCache>
                <c:ptCount val="1"/>
                <c:pt idx="0">
                  <c:v>Shire County average</c:v>
                </c:pt>
              </c:strCache>
            </c:strRef>
          </c:tx>
          <c:spPr>
            <a:ln w="25400">
              <a:solidFill>
                <a:schemeClr val="accent1">
                  <a:lumMod val="60000"/>
                  <a:lumOff val="40000"/>
                </a:schemeClr>
              </a:solidFill>
              <a:prstDash val="sysDot"/>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Sheet1!$R$378:$V$378</c:f>
              <c:numCache>
                <c:formatCode>General</c:formatCode>
                <c:ptCount val="5"/>
                <c:pt idx="0">
                  <c:v>5043.1300188141913</c:v>
                </c:pt>
                <c:pt idx="1">
                  <c:v>5013.5185009466986</c:v>
                </c:pt>
                <c:pt idx="2">
                  <c:v>5078.3298395523543</c:v>
                </c:pt>
                <c:pt idx="3">
                  <c:v>5120.3931239847889</c:v>
                </c:pt>
                <c:pt idx="4">
                  <c:v>5179.1450770743349</c:v>
                </c:pt>
              </c:numCache>
            </c:numRef>
          </c:val>
        </c:ser>
        <c:marker val="1"/>
        <c:axId val="152232704"/>
        <c:axId val="152234240"/>
      </c:lineChart>
      <c:catAx>
        <c:axId val="152232704"/>
        <c:scaling>
          <c:orientation val="minMax"/>
        </c:scaling>
        <c:axPos val="b"/>
        <c:numFmt formatCode="General" sourceLinked="1"/>
        <c:tickLblPos val="nextTo"/>
        <c:crossAx val="152234240"/>
        <c:crosses val="autoZero"/>
        <c:auto val="1"/>
        <c:lblAlgn val="ctr"/>
        <c:lblOffset val="100"/>
      </c:catAx>
      <c:valAx>
        <c:axId val="152234240"/>
        <c:scaling>
          <c:orientation val="minMax"/>
        </c:scaling>
        <c:axPos val="l"/>
        <c:majorGridlines/>
        <c:title>
          <c:tx>
            <c:strRef>
              <c:f>Sheet1!$R$374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23270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chart>
    <c:title>
      <c:tx>
        <c:strRef>
          <c:f>Sheet1!$BI$379</c:f>
          <c:strCache>
            <c:ptCount val="1"/>
            <c:pt idx="0">
              <c:v>Travel time to nearest employment centre with 500 to 4999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Sheet1!$BI$380</c:f>
              <c:strCache>
                <c:ptCount val="1"/>
                <c:pt idx="0">
                  <c:v>Predominantly Rural average</c:v>
                </c:pt>
              </c:strCache>
            </c:strRef>
          </c:tx>
          <c:spPr>
            <a:ln w="25400">
              <a:solidFill>
                <a:schemeClr val="bg1">
                  <a:lumMod val="65000"/>
                </a:schemeClr>
              </a:solidFill>
            </a:ln>
          </c:spPr>
          <c:marker>
            <c:symbol val="none"/>
          </c:marker>
          <c:cat>
            <c:numRef>
              <c:f>Sheet1!$BJ$379:$BL$379</c:f>
              <c:numCache>
                <c:formatCode>General</c:formatCode>
                <c:ptCount val="3"/>
                <c:pt idx="0">
                  <c:v>2014</c:v>
                </c:pt>
                <c:pt idx="1">
                  <c:v>2015</c:v>
                </c:pt>
                <c:pt idx="2">
                  <c:v>2016</c:v>
                </c:pt>
              </c:numCache>
            </c:numRef>
          </c:cat>
          <c:val>
            <c:numRef>
              <c:f>Sheet1!$BJ$380:$BL$380</c:f>
              <c:numCache>
                <c:formatCode>General</c:formatCode>
                <c:ptCount val="3"/>
                <c:pt idx="0">
                  <c:v>9.7739404786540014</c:v>
                </c:pt>
                <c:pt idx="1">
                  <c:v>9.7104394377003569</c:v>
                </c:pt>
                <c:pt idx="2">
                  <c:v>9.922267401144758</c:v>
                </c:pt>
              </c:numCache>
            </c:numRef>
          </c:val>
        </c:ser>
        <c:ser>
          <c:idx val="2"/>
          <c:order val="1"/>
          <c:tx>
            <c:strRef>
              <c:f>Sheet1!$BI$381</c:f>
              <c:strCache>
                <c:ptCount val="1"/>
                <c:pt idx="0">
                  <c:v>Predominantly Urban average</c:v>
                </c:pt>
              </c:strCache>
            </c:strRef>
          </c:tx>
          <c:spPr>
            <a:ln w="25400">
              <a:solidFill>
                <a:schemeClr val="accent6">
                  <a:lumMod val="75000"/>
                </a:schemeClr>
              </a:solidFill>
              <a:prstDash val="sysDash"/>
            </a:ln>
          </c:spPr>
          <c:marker>
            <c:symbol val="none"/>
          </c:marker>
          <c:cat>
            <c:numRef>
              <c:f>Sheet1!$BJ$379:$BL$379</c:f>
              <c:numCache>
                <c:formatCode>General</c:formatCode>
                <c:ptCount val="3"/>
                <c:pt idx="0">
                  <c:v>2014</c:v>
                </c:pt>
                <c:pt idx="1">
                  <c:v>2015</c:v>
                </c:pt>
                <c:pt idx="2">
                  <c:v>2016</c:v>
                </c:pt>
              </c:numCache>
            </c:numRef>
          </c:cat>
          <c:val>
            <c:numRef>
              <c:f>Sheet1!$BJ$381:$BL$381</c:f>
              <c:numCache>
                <c:formatCode>General</c:formatCode>
                <c:ptCount val="3"/>
                <c:pt idx="0">
                  <c:v>8.0680469865790947</c:v>
                </c:pt>
                <c:pt idx="1">
                  <c:v>7.9071815740777414</c:v>
                </c:pt>
                <c:pt idx="2">
                  <c:v>8.2174092022102396</c:v>
                </c:pt>
              </c:numCache>
            </c:numRef>
          </c:val>
        </c:ser>
        <c:ser>
          <c:idx val="3"/>
          <c:order val="2"/>
          <c:tx>
            <c:strRef>
              <c:f>Sheet1!$BI$382</c:f>
              <c:strCache>
                <c:ptCount val="1"/>
                <c:pt idx="0">
                  <c:v>Shire County average</c:v>
                </c:pt>
              </c:strCache>
            </c:strRef>
          </c:tx>
          <c:spPr>
            <a:ln w="25400">
              <a:solidFill>
                <a:schemeClr val="accent1">
                  <a:lumMod val="40000"/>
                  <a:lumOff val="60000"/>
                </a:schemeClr>
              </a:solidFill>
              <a:prstDash val="sysDot"/>
            </a:ln>
          </c:spPr>
          <c:marker>
            <c:symbol val="none"/>
          </c:marker>
          <c:cat>
            <c:numRef>
              <c:f>Sheet1!$BJ$379:$BL$379</c:f>
              <c:numCache>
                <c:formatCode>General</c:formatCode>
                <c:ptCount val="3"/>
                <c:pt idx="0">
                  <c:v>2014</c:v>
                </c:pt>
                <c:pt idx="1">
                  <c:v>2015</c:v>
                </c:pt>
                <c:pt idx="2">
                  <c:v>2016</c:v>
                </c:pt>
              </c:numCache>
            </c:numRef>
          </c:cat>
          <c:val>
            <c:numRef>
              <c:f>Sheet1!$BJ$382:$BL$382</c:f>
              <c:numCache>
                <c:formatCode>General</c:formatCode>
                <c:ptCount val="3"/>
                <c:pt idx="0">
                  <c:v>9.0050940881093808</c:v>
                </c:pt>
                <c:pt idx="1">
                  <c:v>8.9169456499258857</c:v>
                </c:pt>
                <c:pt idx="2">
                  <c:v>9.1291986676354409</c:v>
                </c:pt>
              </c:numCache>
            </c:numRef>
          </c:val>
        </c:ser>
        <c:ser>
          <c:idx val="4"/>
          <c:order val="3"/>
          <c:tx>
            <c:strRef>
              <c:f>Sheet1!$BI$383</c:f>
              <c:strCache>
                <c:ptCount val="1"/>
                <c:pt idx="0">
                  <c:v>Dorset</c:v>
                </c:pt>
              </c:strCache>
            </c:strRef>
          </c:tx>
          <c:spPr>
            <a:ln w="25400">
              <a:solidFill>
                <a:schemeClr val="tx1"/>
              </a:solidFill>
            </a:ln>
          </c:spPr>
          <c:marker>
            <c:symbol val="none"/>
          </c:marker>
          <c:cat>
            <c:numRef>
              <c:f>Sheet1!$BJ$379:$BL$379</c:f>
              <c:numCache>
                <c:formatCode>General</c:formatCode>
                <c:ptCount val="3"/>
                <c:pt idx="0">
                  <c:v>2014</c:v>
                </c:pt>
                <c:pt idx="1">
                  <c:v>2015</c:v>
                </c:pt>
                <c:pt idx="2">
                  <c:v>2016</c:v>
                </c:pt>
              </c:numCache>
            </c:numRef>
          </c:cat>
          <c:val>
            <c:numRef>
              <c:f>Sheet1!$BJ$383:$BL$383</c:f>
              <c:numCache>
                <c:formatCode>General</c:formatCode>
                <c:ptCount val="3"/>
                <c:pt idx="0">
                  <c:v>9.4461160792155692</c:v>
                </c:pt>
                <c:pt idx="1">
                  <c:v>9.2392989764256903</c:v>
                </c:pt>
                <c:pt idx="2">
                  <c:v>9.4602403242132826</c:v>
                </c:pt>
              </c:numCache>
            </c:numRef>
          </c:val>
        </c:ser>
        <c:marker val="1"/>
        <c:axId val="149718528"/>
        <c:axId val="149720064"/>
      </c:lineChart>
      <c:catAx>
        <c:axId val="149718528"/>
        <c:scaling>
          <c:orientation val="minMax"/>
        </c:scaling>
        <c:axPos val="b"/>
        <c:numFmt formatCode="General" sourceLinked="1"/>
        <c:tickLblPos val="nextTo"/>
        <c:crossAx val="149720064"/>
        <c:crosses val="autoZero"/>
        <c:auto val="1"/>
        <c:lblAlgn val="ctr"/>
        <c:lblOffset val="100"/>
      </c:catAx>
      <c:valAx>
        <c:axId val="149720064"/>
        <c:scaling>
          <c:orientation val="minMax"/>
        </c:scaling>
        <c:axPos val="l"/>
        <c:majorGridlines/>
        <c:title>
          <c:tx>
            <c:strRef>
              <c:f>Sheet1!$BI$384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718528"/>
        <c:crosses val="autoZero"/>
        <c:crossBetween val="between"/>
      </c:valAx>
    </c:plotArea>
    <c:legend>
      <c:legendPos val="r"/>
      <c:txPr>
        <a:bodyPr/>
        <a:lstStyle/>
        <a:p>
          <a:pPr>
            <a:defRPr sz="800"/>
          </a:pPr>
          <a:endParaRPr lang="en-US"/>
        </a:p>
      </c:txPr>
    </c:legend>
    <c:plotVisOnly val="1"/>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lang val="en-GB"/>
  <c:chart>
    <c:title>
      <c:tx>
        <c:strRef>
          <c:f>Sheet1!$C$575</c:f>
          <c:strCache>
            <c:ptCount val="1"/>
            <c:pt idx="0">
              <c:v>Motor vehicle traffic (vehicle miles) excluding trunk roads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Sheet1!$C$579</c:f>
              <c:strCache>
                <c:ptCount val="1"/>
                <c:pt idx="0">
                  <c:v>Dorset</c:v>
                </c:pt>
              </c:strCache>
            </c:strRef>
          </c:tx>
          <c:spPr>
            <a:ln w="25400">
              <a:solidFill>
                <a:schemeClr val="tx1"/>
              </a:solidFill>
            </a:ln>
          </c:spPr>
          <c:marker>
            <c:symbol val="none"/>
          </c:marker>
          <c:cat>
            <c:numRef>
              <c:f>Sheet1!$D$575:$H$575</c:f>
              <c:numCache>
                <c:formatCode>General</c:formatCode>
                <c:ptCount val="5"/>
                <c:pt idx="0">
                  <c:v>2012</c:v>
                </c:pt>
                <c:pt idx="1">
                  <c:v>2013</c:v>
                </c:pt>
                <c:pt idx="2">
                  <c:v>2014</c:v>
                </c:pt>
                <c:pt idx="3">
                  <c:v>2015</c:v>
                </c:pt>
                <c:pt idx="4">
                  <c:v>2016</c:v>
                </c:pt>
              </c:numCache>
            </c:numRef>
          </c:cat>
          <c:val>
            <c:numRef>
              <c:f>Sheet1!$D$579:$H$579</c:f>
              <c:numCache>
                <c:formatCode>General</c:formatCode>
                <c:ptCount val="5"/>
                <c:pt idx="0">
                  <c:v>1899</c:v>
                </c:pt>
                <c:pt idx="1">
                  <c:v>1933</c:v>
                </c:pt>
                <c:pt idx="2">
                  <c:v>1988</c:v>
                </c:pt>
                <c:pt idx="3">
                  <c:v>2014</c:v>
                </c:pt>
                <c:pt idx="4">
                  <c:v>2060</c:v>
                </c:pt>
              </c:numCache>
            </c:numRef>
          </c:val>
        </c:ser>
        <c:marker val="1"/>
        <c:axId val="152267392"/>
        <c:axId val="152273280"/>
      </c:lineChart>
      <c:catAx>
        <c:axId val="152267392"/>
        <c:scaling>
          <c:orientation val="minMax"/>
        </c:scaling>
        <c:axPos val="b"/>
        <c:numFmt formatCode="General" sourceLinked="1"/>
        <c:tickLblPos val="nextTo"/>
        <c:crossAx val="152273280"/>
        <c:crosses val="autoZero"/>
        <c:auto val="1"/>
        <c:lblAlgn val="ctr"/>
        <c:lblOffset val="100"/>
      </c:catAx>
      <c:valAx>
        <c:axId val="152273280"/>
        <c:scaling>
          <c:orientation val="minMax"/>
        </c:scaling>
        <c:axPos val="l"/>
        <c:majorGridlines/>
        <c:title>
          <c:tx>
            <c:strRef>
              <c:f>Sheet1!$D$574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267392"/>
        <c:crosses val="autoZero"/>
        <c:crossBetween val="between"/>
      </c:valAx>
    </c:plotArea>
    <c:legend>
      <c:legendPos val="r"/>
      <c:txPr>
        <a:bodyPr/>
        <a:lstStyle/>
        <a:p>
          <a:pPr>
            <a:defRPr sz="900"/>
          </a:pPr>
          <a:endParaRPr lang="en-US"/>
        </a:p>
      </c:txPr>
    </c:legend>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lang val="en-GB"/>
  <c:chart>
    <c:title>
      <c:tx>
        <c:strRef>
          <c:f>Sheet1!$Q$575</c:f>
          <c:strCache>
            <c:ptCount val="1"/>
            <c:pt idx="0">
              <c:v>Motor vehicle traffic (vehicle miles per head of population) excluding trunk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Sheet1!$Q$579</c:f>
              <c:strCache>
                <c:ptCount val="1"/>
                <c:pt idx="0">
                  <c:v>Dorset</c:v>
                </c:pt>
              </c:strCache>
            </c:strRef>
          </c:tx>
          <c:spPr>
            <a:solidFill>
              <a:schemeClr val="tx1"/>
            </a:solidFill>
          </c:spPr>
          <c:cat>
            <c:numRef>
              <c:f>Sheet1!$R$575:$V$575</c:f>
              <c:numCache>
                <c:formatCode>General</c:formatCode>
                <c:ptCount val="5"/>
                <c:pt idx="0">
                  <c:v>2012</c:v>
                </c:pt>
                <c:pt idx="1">
                  <c:v>2013</c:v>
                </c:pt>
                <c:pt idx="2">
                  <c:v>2014</c:v>
                </c:pt>
                <c:pt idx="3">
                  <c:v>2015</c:v>
                </c:pt>
                <c:pt idx="4">
                  <c:v>2016</c:v>
                </c:pt>
              </c:numCache>
            </c:numRef>
          </c:cat>
          <c:val>
            <c:numRef>
              <c:f>Sheet1!$R$579:$V$579</c:f>
              <c:numCache>
                <c:formatCode>General</c:formatCode>
                <c:ptCount val="5"/>
                <c:pt idx="0">
                  <c:v>4576.2895665899559</c:v>
                </c:pt>
                <c:pt idx="1">
                  <c:v>4635.2137162040608</c:v>
                </c:pt>
                <c:pt idx="2">
                  <c:v>4750.3213874379344</c:v>
                </c:pt>
                <c:pt idx="3">
                  <c:v>4785.5871611298198</c:v>
                </c:pt>
                <c:pt idx="4">
                  <c:v>4870.7478489500672</c:v>
                </c:pt>
              </c:numCache>
            </c:numRef>
          </c:val>
        </c:ser>
        <c:axId val="152374656"/>
        <c:axId val="152392832"/>
      </c:barChart>
      <c:lineChart>
        <c:grouping val="standard"/>
        <c:ser>
          <c:idx val="0"/>
          <c:order val="0"/>
          <c:tx>
            <c:strRef>
              <c:f>Sheet1!$Q$576</c:f>
              <c:strCache>
                <c:ptCount val="1"/>
                <c:pt idx="0">
                  <c:v>Predominantly Rural average</c:v>
                </c:pt>
              </c:strCache>
            </c:strRef>
          </c:tx>
          <c:spPr>
            <a:ln w="25400">
              <a:solidFill>
                <a:schemeClr val="bg1">
                  <a:lumMod val="75000"/>
                </a:schemeClr>
              </a:solidFill>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Sheet1!$R$576:$V$576</c:f>
              <c:numCache>
                <c:formatCode>General</c:formatCode>
                <c:ptCount val="5"/>
                <c:pt idx="0">
                  <c:v>4102.6645154709749</c:v>
                </c:pt>
                <c:pt idx="1">
                  <c:v>4121.7804862316871</c:v>
                </c:pt>
                <c:pt idx="2">
                  <c:v>4221.7991655041833</c:v>
                </c:pt>
                <c:pt idx="3">
                  <c:v>4268.627512078675</c:v>
                </c:pt>
                <c:pt idx="4">
                  <c:v>4337.3109184784007</c:v>
                </c:pt>
              </c:numCache>
            </c:numRef>
          </c:val>
        </c:ser>
        <c:ser>
          <c:idx val="1"/>
          <c:order val="1"/>
          <c:tx>
            <c:strRef>
              <c:f>Sheet1!$Q$577</c:f>
              <c:strCache>
                <c:ptCount val="1"/>
                <c:pt idx="0">
                  <c:v>Predominantly Urban average</c:v>
                </c:pt>
              </c:strCache>
            </c:strRef>
          </c:tx>
          <c:spPr>
            <a:ln w="25400">
              <a:solidFill>
                <a:schemeClr val="accent6">
                  <a:lumMod val="75000"/>
                </a:schemeClr>
              </a:solidFill>
              <a:prstDash val="sysDash"/>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Sheet1!$R$577:$V$577</c:f>
              <c:numCache>
                <c:formatCode>General</c:formatCode>
                <c:ptCount val="5"/>
                <c:pt idx="0">
                  <c:v>2792.2263514739789</c:v>
                </c:pt>
                <c:pt idx="1">
                  <c:v>2756.8786658849513</c:v>
                </c:pt>
                <c:pt idx="2">
                  <c:v>2795.5389954083462</c:v>
                </c:pt>
                <c:pt idx="3">
                  <c:v>2785.5360635117549</c:v>
                </c:pt>
                <c:pt idx="4">
                  <c:v>2808.6638029550281</c:v>
                </c:pt>
              </c:numCache>
            </c:numRef>
          </c:val>
        </c:ser>
        <c:ser>
          <c:idx val="2"/>
          <c:order val="2"/>
          <c:tx>
            <c:strRef>
              <c:f>Sheet1!$Q$578</c:f>
              <c:strCache>
                <c:ptCount val="1"/>
                <c:pt idx="0">
                  <c:v>Shire County average</c:v>
                </c:pt>
              </c:strCache>
            </c:strRef>
          </c:tx>
          <c:spPr>
            <a:ln w="25400">
              <a:solidFill>
                <a:schemeClr val="accent1">
                  <a:lumMod val="60000"/>
                  <a:lumOff val="40000"/>
                </a:schemeClr>
              </a:solidFill>
              <a:prstDash val="sysDot"/>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Sheet1!$R$578:$V$578</c:f>
              <c:numCache>
                <c:formatCode>General</c:formatCode>
                <c:ptCount val="5"/>
                <c:pt idx="0">
                  <c:v>3934.5431070564632</c:v>
                </c:pt>
                <c:pt idx="1">
                  <c:v>3927.085336250278</c:v>
                </c:pt>
                <c:pt idx="2">
                  <c:v>4021.7287470041797</c:v>
                </c:pt>
                <c:pt idx="3">
                  <c:v>4059.4860776963665</c:v>
                </c:pt>
                <c:pt idx="4">
                  <c:v>4117.3700216262332</c:v>
                </c:pt>
              </c:numCache>
            </c:numRef>
          </c:val>
        </c:ser>
        <c:marker val="1"/>
        <c:axId val="152374656"/>
        <c:axId val="152392832"/>
      </c:lineChart>
      <c:catAx>
        <c:axId val="152374656"/>
        <c:scaling>
          <c:orientation val="minMax"/>
        </c:scaling>
        <c:axPos val="b"/>
        <c:numFmt formatCode="General" sourceLinked="1"/>
        <c:tickLblPos val="nextTo"/>
        <c:crossAx val="152392832"/>
        <c:crosses val="autoZero"/>
        <c:auto val="1"/>
        <c:lblAlgn val="ctr"/>
        <c:lblOffset val="100"/>
      </c:catAx>
      <c:valAx>
        <c:axId val="152392832"/>
        <c:scaling>
          <c:orientation val="minMax"/>
        </c:scaling>
        <c:axPos val="l"/>
        <c:majorGridlines/>
        <c:title>
          <c:tx>
            <c:strRef>
              <c:f>Sheet1!$R$574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37465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lang val="en-GB"/>
  <c:chart>
    <c:title>
      <c:tx>
        <c:strRef>
          <c:f>Sheet1!$C$775</c:f>
          <c:strCache>
            <c:ptCount val="1"/>
            <c:pt idx="0">
              <c:v>Motor Vehicle Flow, Annual Average Daily Flow</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Sheet1!$C$776</c:f>
              <c:strCache>
                <c:ptCount val="1"/>
                <c:pt idx="0">
                  <c:v>Predominantly Rural average</c:v>
                </c:pt>
              </c:strCache>
            </c:strRef>
          </c:tx>
          <c:spPr>
            <a:ln w="25400">
              <a:solidFill>
                <a:schemeClr val="bg1">
                  <a:lumMod val="75000"/>
                </a:schemeClr>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Sheet1!$D$776:$H$776</c:f>
              <c:numCache>
                <c:formatCode>General</c:formatCode>
                <c:ptCount val="5"/>
                <c:pt idx="0">
                  <c:v>2482.5</c:v>
                </c:pt>
                <c:pt idx="1">
                  <c:v>2517.3500000000013</c:v>
                </c:pt>
                <c:pt idx="2">
                  <c:v>2579.1999999999998</c:v>
                </c:pt>
                <c:pt idx="3">
                  <c:v>2643.65</c:v>
                </c:pt>
                <c:pt idx="4">
                  <c:v>2687.8500000000013</c:v>
                </c:pt>
              </c:numCache>
            </c:numRef>
          </c:val>
        </c:ser>
        <c:ser>
          <c:idx val="1"/>
          <c:order val="1"/>
          <c:tx>
            <c:strRef>
              <c:f>Sheet1!$C$777</c:f>
              <c:strCache>
                <c:ptCount val="1"/>
                <c:pt idx="0">
                  <c:v>Predominantly Urban average</c:v>
                </c:pt>
              </c:strCache>
            </c:strRef>
          </c:tx>
          <c:spPr>
            <a:ln w="25400">
              <a:solidFill>
                <a:schemeClr val="accent6">
                  <a:lumMod val="75000"/>
                </a:schemeClr>
              </a:solidFill>
              <a:prstDash val="sysDash"/>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Sheet1!$D$777:$H$777</c:f>
              <c:numCache>
                <c:formatCode>General</c:formatCode>
                <c:ptCount val="5"/>
                <c:pt idx="0">
                  <c:v>5085.8727272727274</c:v>
                </c:pt>
                <c:pt idx="1">
                  <c:v>5073.2363636363625</c:v>
                </c:pt>
                <c:pt idx="2">
                  <c:v>5177.0545454545454</c:v>
                </c:pt>
                <c:pt idx="3">
                  <c:v>5212.954545454545</c:v>
                </c:pt>
                <c:pt idx="4">
                  <c:v>5276.7454545454548</c:v>
                </c:pt>
              </c:numCache>
            </c:numRef>
          </c:val>
        </c:ser>
        <c:ser>
          <c:idx val="2"/>
          <c:order val="2"/>
          <c:tx>
            <c:strRef>
              <c:f>Sheet1!$C$778</c:f>
              <c:strCache>
                <c:ptCount val="1"/>
                <c:pt idx="0">
                  <c:v>Shire County average</c:v>
                </c:pt>
              </c:strCache>
            </c:strRef>
          </c:tx>
          <c:spPr>
            <a:ln w="25400">
              <a:solidFill>
                <a:schemeClr val="accent1">
                  <a:lumMod val="60000"/>
                  <a:lumOff val="40000"/>
                </a:schemeClr>
              </a:solidFill>
              <a:prstDash val="sysDot"/>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Sheet1!$D$778:$H$778</c:f>
              <c:numCache>
                <c:formatCode>General</c:formatCode>
                <c:ptCount val="5"/>
                <c:pt idx="0">
                  <c:v>3787.4074074074074</c:v>
                </c:pt>
                <c:pt idx="1">
                  <c:v>3813.5185185185205</c:v>
                </c:pt>
                <c:pt idx="2">
                  <c:v>3911.5555555555575</c:v>
                </c:pt>
                <c:pt idx="3">
                  <c:v>3990.2592592592591</c:v>
                </c:pt>
                <c:pt idx="4">
                  <c:v>4052.3703703703732</c:v>
                </c:pt>
              </c:numCache>
            </c:numRef>
          </c:val>
        </c:ser>
        <c:ser>
          <c:idx val="3"/>
          <c:order val="3"/>
          <c:tx>
            <c:strRef>
              <c:f>Sheet1!$C$779</c:f>
              <c:strCache>
                <c:ptCount val="1"/>
                <c:pt idx="0">
                  <c:v>Dorset</c:v>
                </c:pt>
              </c:strCache>
            </c:strRef>
          </c:tx>
          <c:spPr>
            <a:ln w="25400">
              <a:solidFill>
                <a:schemeClr val="tx1"/>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Sheet1!$D$779:$H$779</c:f>
              <c:numCache>
                <c:formatCode>General</c:formatCode>
                <c:ptCount val="5"/>
                <c:pt idx="0">
                  <c:v>2335</c:v>
                </c:pt>
                <c:pt idx="1">
                  <c:v>2376</c:v>
                </c:pt>
                <c:pt idx="2">
                  <c:v>2444</c:v>
                </c:pt>
                <c:pt idx="3">
                  <c:v>2483</c:v>
                </c:pt>
                <c:pt idx="4">
                  <c:v>2531</c:v>
                </c:pt>
              </c:numCache>
            </c:numRef>
          </c:val>
        </c:ser>
        <c:marker val="1"/>
        <c:axId val="152424448"/>
        <c:axId val="152425984"/>
      </c:lineChart>
      <c:catAx>
        <c:axId val="152424448"/>
        <c:scaling>
          <c:orientation val="minMax"/>
        </c:scaling>
        <c:axPos val="b"/>
        <c:numFmt formatCode="General" sourceLinked="1"/>
        <c:tickLblPos val="nextTo"/>
        <c:crossAx val="152425984"/>
        <c:crosses val="autoZero"/>
        <c:auto val="1"/>
        <c:lblAlgn val="ctr"/>
        <c:lblOffset val="100"/>
      </c:catAx>
      <c:valAx>
        <c:axId val="152425984"/>
        <c:scaling>
          <c:orientation val="minMax"/>
        </c:scaling>
        <c:axPos val="l"/>
        <c:majorGridlines/>
        <c:title>
          <c:tx>
            <c:strRef>
              <c:f>Sheet1!$D$774</c:f>
              <c:strCache>
                <c:ptCount val="1"/>
                <c:pt idx="0">
                  <c:v> number of vehicles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424448"/>
        <c:crosses val="autoZero"/>
        <c:crossBetween val="between"/>
      </c:valAx>
    </c:plotArea>
    <c:legend>
      <c:legendPos val="r"/>
      <c:txPr>
        <a:bodyPr/>
        <a:lstStyle/>
        <a:p>
          <a:pPr>
            <a:defRPr sz="900"/>
          </a:pPr>
          <a:endParaRPr lang="en-US"/>
        </a:p>
      </c:txPr>
    </c:legend>
    <c:plotVisOnly val="1"/>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Principal (LA maintained 'A'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Sheet1!$C$180</c:f>
              <c:strCache>
                <c:ptCount val="1"/>
                <c:pt idx="0">
                  <c:v>Dorset</c:v>
                </c:pt>
              </c:strCache>
            </c:strRef>
          </c:tx>
          <c:spPr>
            <a:solidFill>
              <a:schemeClr val="tx1"/>
            </a:solidFill>
          </c:spPr>
          <c:cat>
            <c:strRef>
              <c:f>Sheet1!$D$176:$H$176</c:f>
              <c:strCache>
                <c:ptCount val="5"/>
                <c:pt idx="0">
                  <c:v>2012/13</c:v>
                </c:pt>
                <c:pt idx="1">
                  <c:v>2013/14</c:v>
                </c:pt>
                <c:pt idx="2">
                  <c:v>2014/15</c:v>
                </c:pt>
                <c:pt idx="3">
                  <c:v>2015/16</c:v>
                </c:pt>
                <c:pt idx="4">
                  <c:v>2016/17</c:v>
                </c:pt>
              </c:strCache>
            </c:strRef>
          </c:cat>
          <c:val>
            <c:numRef>
              <c:f>Sheet1!$D$180:$H$180</c:f>
              <c:numCache>
                <c:formatCode>General</c:formatCode>
                <c:ptCount val="5"/>
                <c:pt idx="0">
                  <c:v>5</c:v>
                </c:pt>
                <c:pt idx="1">
                  <c:v>4</c:v>
                </c:pt>
                <c:pt idx="2">
                  <c:v>3</c:v>
                </c:pt>
                <c:pt idx="3">
                  <c:v>3</c:v>
                </c:pt>
                <c:pt idx="4">
                  <c:v>3</c:v>
                </c:pt>
              </c:numCache>
            </c:numRef>
          </c:val>
        </c:ser>
        <c:axId val="152490752"/>
        <c:axId val="152492288"/>
      </c:barChar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strRef>
              <c:f>Sheet1!$D$176:$H$176</c:f>
              <c:strCache>
                <c:ptCount val="5"/>
                <c:pt idx="0">
                  <c:v>2012/13</c:v>
                </c:pt>
                <c:pt idx="1">
                  <c:v>2013/14</c:v>
                </c:pt>
                <c:pt idx="2">
                  <c:v>2014/15</c:v>
                </c:pt>
                <c:pt idx="3">
                  <c:v>2015/16</c:v>
                </c:pt>
                <c:pt idx="4">
                  <c:v>2016/17</c:v>
                </c:pt>
              </c:strCache>
            </c:strRef>
          </c:cat>
          <c:val>
            <c:numRef>
              <c:f>Sheet1!$D$177:$H$177</c:f>
              <c:numCache>
                <c:formatCode>General</c:formatCode>
                <c:ptCount val="5"/>
                <c:pt idx="0">
                  <c:v>4.3157894736842106</c:v>
                </c:pt>
                <c:pt idx="1">
                  <c:v>3.6315789473684208</c:v>
                </c:pt>
                <c:pt idx="2">
                  <c:v>3.6</c:v>
                </c:pt>
                <c:pt idx="3">
                  <c:v>3.2</c:v>
                </c:pt>
                <c:pt idx="4">
                  <c:v>2.9499999999999997</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strRef>
              <c:f>Sheet1!$D$176:$H$176</c:f>
              <c:strCache>
                <c:ptCount val="5"/>
                <c:pt idx="0">
                  <c:v>2012/13</c:v>
                </c:pt>
                <c:pt idx="1">
                  <c:v>2013/14</c:v>
                </c:pt>
                <c:pt idx="2">
                  <c:v>2014/15</c:v>
                </c:pt>
                <c:pt idx="3">
                  <c:v>2015/16</c:v>
                </c:pt>
                <c:pt idx="4">
                  <c:v>2016/17</c:v>
                </c:pt>
              </c:strCache>
            </c:strRef>
          </c:cat>
          <c:val>
            <c:numRef>
              <c:f>Sheet1!$D$178:$H$178</c:f>
              <c:numCache>
                <c:formatCode>General</c:formatCode>
                <c:ptCount val="5"/>
                <c:pt idx="0">
                  <c:v>6.9711538461538476</c:v>
                </c:pt>
                <c:pt idx="1">
                  <c:v>7.0090909090909088</c:v>
                </c:pt>
                <c:pt idx="2">
                  <c:v>4.4090909090909092</c:v>
                </c:pt>
                <c:pt idx="3">
                  <c:v>4.1834862385321081</c:v>
                </c:pt>
                <c:pt idx="4">
                  <c:v>4.2568807339449544</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strRef>
              <c:f>Sheet1!$D$176:$H$176</c:f>
              <c:strCache>
                <c:ptCount val="5"/>
                <c:pt idx="0">
                  <c:v>2012/13</c:v>
                </c:pt>
                <c:pt idx="1">
                  <c:v>2013/14</c:v>
                </c:pt>
                <c:pt idx="2">
                  <c:v>2014/15</c:v>
                </c:pt>
                <c:pt idx="3">
                  <c:v>2015/16</c:v>
                </c:pt>
                <c:pt idx="4">
                  <c:v>2016/17</c:v>
                </c:pt>
              </c:strCache>
            </c:strRef>
          </c:cat>
          <c:val>
            <c:numRef>
              <c:f>Sheet1!$D$179:$H$179</c:f>
              <c:numCache>
                <c:formatCode>General</c:formatCode>
                <c:ptCount val="5"/>
                <c:pt idx="0">
                  <c:v>4.1111111111111107</c:v>
                </c:pt>
                <c:pt idx="1">
                  <c:v>3.925925925925926</c:v>
                </c:pt>
                <c:pt idx="2">
                  <c:v>3.2962962962962972</c:v>
                </c:pt>
                <c:pt idx="3">
                  <c:v>2.7037037037037042</c:v>
                </c:pt>
                <c:pt idx="4">
                  <c:v>2.8518518518518507</c:v>
                </c:pt>
              </c:numCache>
            </c:numRef>
          </c:val>
        </c:ser>
        <c:marker val="1"/>
        <c:axId val="152490752"/>
        <c:axId val="152492288"/>
      </c:lineChart>
      <c:catAx>
        <c:axId val="152490752"/>
        <c:scaling>
          <c:orientation val="minMax"/>
        </c:scaling>
        <c:axPos val="b"/>
        <c:tickLblPos val="nextTo"/>
        <c:crossAx val="152492288"/>
        <c:crosses val="autoZero"/>
        <c:auto val="1"/>
        <c:lblAlgn val="ctr"/>
        <c:lblOffset val="100"/>
      </c:catAx>
      <c:valAx>
        <c:axId val="152492288"/>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5249075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lang val="en-GB"/>
  <c:chart>
    <c:title>
      <c:tx>
        <c:strRef>
          <c:f>Sheet1!$J$176</c:f>
          <c:strCache>
            <c:ptCount val="1"/>
            <c:pt idx="0">
              <c:v>Non-principal (LA maintained 'B' and 'C'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Sheet1!$J$180</c:f>
              <c:strCache>
                <c:ptCount val="1"/>
                <c:pt idx="0">
                  <c:v>Dorset</c:v>
                </c:pt>
              </c:strCache>
            </c:strRef>
          </c:tx>
          <c:spPr>
            <a:solidFill>
              <a:schemeClr val="tx1"/>
            </a:solidFill>
          </c:spPr>
          <c:cat>
            <c:strRef>
              <c:f>Sheet1!$K$176:$O$176</c:f>
              <c:strCache>
                <c:ptCount val="5"/>
                <c:pt idx="0">
                  <c:v>2012/13</c:v>
                </c:pt>
                <c:pt idx="1">
                  <c:v>2013/14</c:v>
                </c:pt>
                <c:pt idx="2">
                  <c:v>2014/15</c:v>
                </c:pt>
                <c:pt idx="3">
                  <c:v>2015/16</c:v>
                </c:pt>
                <c:pt idx="4">
                  <c:v>2016/17</c:v>
                </c:pt>
              </c:strCache>
            </c:strRef>
          </c:cat>
          <c:val>
            <c:numRef>
              <c:f>Sheet1!$K$180:$O$180</c:f>
              <c:numCache>
                <c:formatCode>General</c:formatCode>
                <c:ptCount val="5"/>
                <c:pt idx="0">
                  <c:v>10</c:v>
                </c:pt>
                <c:pt idx="1">
                  <c:v>7</c:v>
                </c:pt>
                <c:pt idx="2">
                  <c:v>5</c:v>
                </c:pt>
                <c:pt idx="3">
                  <c:v>4</c:v>
                </c:pt>
                <c:pt idx="4">
                  <c:v>4</c:v>
                </c:pt>
              </c:numCache>
            </c:numRef>
          </c:val>
        </c:ser>
        <c:axId val="152532480"/>
        <c:axId val="152534016"/>
      </c:barChart>
      <c:lineChart>
        <c:grouping val="standard"/>
        <c:ser>
          <c:idx val="0"/>
          <c:order val="0"/>
          <c:tx>
            <c:strRef>
              <c:f>Sheet1!$J$177</c:f>
              <c:strCache>
                <c:ptCount val="1"/>
                <c:pt idx="0">
                  <c:v>Predominantly Rural average</c:v>
                </c:pt>
              </c:strCache>
            </c:strRef>
          </c:tx>
          <c:spPr>
            <a:ln w="25400">
              <a:solidFill>
                <a:schemeClr val="bg1">
                  <a:lumMod val="75000"/>
                </a:schemeClr>
              </a:solidFill>
            </a:ln>
          </c:spPr>
          <c:marker>
            <c:symbol val="none"/>
          </c:marker>
          <c:cat>
            <c:strRef>
              <c:f>Sheet1!$K$176:$O$176</c:f>
              <c:strCache>
                <c:ptCount val="5"/>
                <c:pt idx="0">
                  <c:v>2012/13</c:v>
                </c:pt>
                <c:pt idx="1">
                  <c:v>2013/14</c:v>
                </c:pt>
                <c:pt idx="2">
                  <c:v>2014/15</c:v>
                </c:pt>
                <c:pt idx="3">
                  <c:v>2015/16</c:v>
                </c:pt>
                <c:pt idx="4">
                  <c:v>2016/17</c:v>
                </c:pt>
              </c:strCache>
            </c:strRef>
          </c:cat>
          <c:val>
            <c:numRef>
              <c:f>Sheet1!$K$177:$O$177</c:f>
              <c:numCache>
                <c:formatCode>General</c:formatCode>
                <c:ptCount val="5"/>
                <c:pt idx="0">
                  <c:v>9.5555555555555589</c:v>
                </c:pt>
                <c:pt idx="1">
                  <c:v>8.3684210526315752</c:v>
                </c:pt>
                <c:pt idx="2">
                  <c:v>7.6499999999999995</c:v>
                </c:pt>
                <c:pt idx="3">
                  <c:v>6.4</c:v>
                </c:pt>
                <c:pt idx="4">
                  <c:v>6.4</c:v>
                </c:pt>
              </c:numCache>
            </c:numRef>
          </c:val>
        </c:ser>
        <c:ser>
          <c:idx val="1"/>
          <c:order val="1"/>
          <c:tx>
            <c:strRef>
              <c:f>Sheet1!$J$178</c:f>
              <c:strCache>
                <c:ptCount val="1"/>
                <c:pt idx="0">
                  <c:v>Predominantly Urban average</c:v>
                </c:pt>
              </c:strCache>
            </c:strRef>
          </c:tx>
          <c:spPr>
            <a:ln w="25400">
              <a:solidFill>
                <a:schemeClr val="accent6">
                  <a:lumMod val="75000"/>
                </a:schemeClr>
              </a:solidFill>
              <a:prstDash val="sysDash"/>
            </a:ln>
          </c:spPr>
          <c:marker>
            <c:symbol val="none"/>
          </c:marker>
          <c:cat>
            <c:strRef>
              <c:f>Sheet1!$K$176:$O$176</c:f>
              <c:strCache>
                <c:ptCount val="5"/>
                <c:pt idx="0">
                  <c:v>2012/13</c:v>
                </c:pt>
                <c:pt idx="1">
                  <c:v>2013/14</c:v>
                </c:pt>
                <c:pt idx="2">
                  <c:v>2014/15</c:v>
                </c:pt>
                <c:pt idx="3">
                  <c:v>2015/16</c:v>
                </c:pt>
                <c:pt idx="4">
                  <c:v>2016/17</c:v>
                </c:pt>
              </c:strCache>
            </c:strRef>
          </c:cat>
          <c:val>
            <c:numRef>
              <c:f>Sheet1!$K$178:$O$178</c:f>
              <c:numCache>
                <c:formatCode>General</c:formatCode>
                <c:ptCount val="5"/>
                <c:pt idx="0">
                  <c:v>8.1809523809523768</c:v>
                </c:pt>
                <c:pt idx="1">
                  <c:v>7.8909090909090907</c:v>
                </c:pt>
                <c:pt idx="2">
                  <c:v>6.4587155963302756</c:v>
                </c:pt>
                <c:pt idx="3">
                  <c:v>4.6238532110091741</c:v>
                </c:pt>
                <c:pt idx="4">
                  <c:v>4.5462962962962967</c:v>
                </c:pt>
              </c:numCache>
            </c:numRef>
          </c:val>
        </c:ser>
        <c:ser>
          <c:idx val="2"/>
          <c:order val="2"/>
          <c:tx>
            <c:strRef>
              <c:f>Sheet1!$J$179</c:f>
              <c:strCache>
                <c:ptCount val="1"/>
                <c:pt idx="0">
                  <c:v>Shire County average</c:v>
                </c:pt>
              </c:strCache>
            </c:strRef>
          </c:tx>
          <c:spPr>
            <a:ln w="25400">
              <a:solidFill>
                <a:schemeClr val="accent1">
                  <a:lumMod val="60000"/>
                  <a:lumOff val="40000"/>
                </a:schemeClr>
              </a:solidFill>
              <a:prstDash val="sysDot"/>
            </a:ln>
          </c:spPr>
          <c:marker>
            <c:symbol val="none"/>
          </c:marker>
          <c:cat>
            <c:strRef>
              <c:f>Sheet1!$K$176:$O$176</c:f>
              <c:strCache>
                <c:ptCount val="5"/>
                <c:pt idx="0">
                  <c:v>2012/13</c:v>
                </c:pt>
                <c:pt idx="1">
                  <c:v>2013/14</c:v>
                </c:pt>
                <c:pt idx="2">
                  <c:v>2014/15</c:v>
                </c:pt>
                <c:pt idx="3">
                  <c:v>2015/16</c:v>
                </c:pt>
                <c:pt idx="4">
                  <c:v>2016/17</c:v>
                </c:pt>
              </c:strCache>
            </c:strRef>
          </c:cat>
          <c:val>
            <c:numRef>
              <c:f>Sheet1!$K$179:$O$179</c:f>
              <c:numCache>
                <c:formatCode>General</c:formatCode>
                <c:ptCount val="5"/>
                <c:pt idx="0">
                  <c:v>9.8461538461538449</c:v>
                </c:pt>
                <c:pt idx="1">
                  <c:v>8.3333333333333357</c:v>
                </c:pt>
                <c:pt idx="2">
                  <c:v>6.666666666666667</c:v>
                </c:pt>
                <c:pt idx="3">
                  <c:v>5.1851851851851851</c:v>
                </c:pt>
                <c:pt idx="4">
                  <c:v>5.4615384615384617</c:v>
                </c:pt>
              </c:numCache>
            </c:numRef>
          </c:val>
        </c:ser>
        <c:marker val="1"/>
        <c:axId val="152532480"/>
        <c:axId val="152534016"/>
      </c:lineChart>
      <c:catAx>
        <c:axId val="152532480"/>
        <c:scaling>
          <c:orientation val="minMax"/>
        </c:scaling>
        <c:axPos val="b"/>
        <c:tickLblPos val="nextTo"/>
        <c:crossAx val="152534016"/>
        <c:crosses val="autoZero"/>
        <c:auto val="1"/>
        <c:lblAlgn val="ctr"/>
        <c:lblOffset val="100"/>
      </c:catAx>
      <c:valAx>
        <c:axId val="152534016"/>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5253248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lang val="en-GB"/>
  <c:chart>
    <c:title>
      <c:tx>
        <c:strRef>
          <c:f>Sheet1!$C$555</c:f>
          <c:strCache>
            <c:ptCount val="1"/>
            <c:pt idx="0">
              <c:v>Unclassified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Sheet1!$C$559</c:f>
              <c:strCache>
                <c:ptCount val="1"/>
                <c:pt idx="0">
                  <c:v>Dorset</c:v>
                </c:pt>
              </c:strCache>
            </c:strRef>
          </c:tx>
          <c:spPr>
            <a:solidFill>
              <a:schemeClr val="tx1"/>
            </a:solidFill>
          </c:spPr>
          <c:cat>
            <c:strRef>
              <c:f>Sheet1!$D$555:$H$555</c:f>
              <c:strCache>
                <c:ptCount val="5"/>
                <c:pt idx="0">
                  <c:v>2012/13</c:v>
                </c:pt>
                <c:pt idx="1">
                  <c:v>2013/14</c:v>
                </c:pt>
                <c:pt idx="2">
                  <c:v>2014/15</c:v>
                </c:pt>
                <c:pt idx="3">
                  <c:v>2015/16</c:v>
                </c:pt>
                <c:pt idx="4">
                  <c:v>2016/17</c:v>
                </c:pt>
              </c:strCache>
            </c:strRef>
          </c:cat>
          <c:val>
            <c:numRef>
              <c:f>Sheet1!$D$559:$H$559</c:f>
              <c:numCache>
                <c:formatCode>General</c:formatCode>
                <c:ptCount val="5"/>
                <c:pt idx="0">
                  <c:v>0</c:v>
                </c:pt>
                <c:pt idx="1">
                  <c:v>12</c:v>
                </c:pt>
                <c:pt idx="2">
                  <c:v>12</c:v>
                </c:pt>
                <c:pt idx="3">
                  <c:v>13</c:v>
                </c:pt>
                <c:pt idx="4">
                  <c:v>12</c:v>
                </c:pt>
              </c:numCache>
            </c:numRef>
          </c:val>
        </c:ser>
        <c:axId val="152640512"/>
        <c:axId val="152642304"/>
      </c:barChart>
      <c:lineChart>
        <c:grouping val="standard"/>
        <c:ser>
          <c:idx val="0"/>
          <c:order val="0"/>
          <c:tx>
            <c:strRef>
              <c:f>Sheet1!$C$556</c:f>
              <c:strCache>
                <c:ptCount val="1"/>
                <c:pt idx="0">
                  <c:v>Predominantly Rural average</c:v>
                </c:pt>
              </c:strCache>
            </c:strRef>
          </c:tx>
          <c:spPr>
            <a:ln w="25400">
              <a:solidFill>
                <a:schemeClr val="bg1">
                  <a:lumMod val="75000"/>
                </a:schemeClr>
              </a:solidFill>
            </a:ln>
          </c:spPr>
          <c:marker>
            <c:symbol val="none"/>
          </c:marker>
          <c:cat>
            <c:strRef>
              <c:f>Sheet1!$D$555:$H$555</c:f>
              <c:strCache>
                <c:ptCount val="5"/>
                <c:pt idx="0">
                  <c:v>2012/13</c:v>
                </c:pt>
                <c:pt idx="1">
                  <c:v>2013/14</c:v>
                </c:pt>
                <c:pt idx="2">
                  <c:v>2014/15</c:v>
                </c:pt>
                <c:pt idx="3">
                  <c:v>2015/16</c:v>
                </c:pt>
                <c:pt idx="4">
                  <c:v>2016/17</c:v>
                </c:pt>
              </c:strCache>
            </c:strRef>
          </c:cat>
          <c:val>
            <c:numRef>
              <c:f>Sheet1!$D$556:$H$556</c:f>
              <c:numCache>
                <c:formatCode>General</c:formatCode>
                <c:ptCount val="5"/>
                <c:pt idx="0">
                  <c:v>18</c:v>
                </c:pt>
                <c:pt idx="1">
                  <c:v>19.473684210526301</c:v>
                </c:pt>
                <c:pt idx="2">
                  <c:v>19.15789473684212</c:v>
                </c:pt>
                <c:pt idx="3">
                  <c:v>18.111111111111118</c:v>
                </c:pt>
                <c:pt idx="4">
                  <c:v>17.470588235294116</c:v>
                </c:pt>
              </c:numCache>
            </c:numRef>
          </c:val>
        </c:ser>
        <c:ser>
          <c:idx val="1"/>
          <c:order val="1"/>
          <c:tx>
            <c:strRef>
              <c:f>Sheet1!$C$557</c:f>
              <c:strCache>
                <c:ptCount val="1"/>
                <c:pt idx="0">
                  <c:v>Predominantly Urban average</c:v>
                </c:pt>
              </c:strCache>
            </c:strRef>
          </c:tx>
          <c:spPr>
            <a:ln w="25400">
              <a:solidFill>
                <a:schemeClr val="accent6">
                  <a:lumMod val="75000"/>
                </a:schemeClr>
              </a:solidFill>
              <a:prstDash val="sysDash"/>
            </a:ln>
          </c:spPr>
          <c:marker>
            <c:symbol val="none"/>
          </c:marker>
          <c:cat>
            <c:strRef>
              <c:f>Sheet1!$D$555:$H$555</c:f>
              <c:strCache>
                <c:ptCount val="5"/>
                <c:pt idx="0">
                  <c:v>2012/13</c:v>
                </c:pt>
                <c:pt idx="1">
                  <c:v>2013/14</c:v>
                </c:pt>
                <c:pt idx="2">
                  <c:v>2014/15</c:v>
                </c:pt>
                <c:pt idx="3">
                  <c:v>2015/16</c:v>
                </c:pt>
                <c:pt idx="4">
                  <c:v>2016/17</c:v>
                </c:pt>
              </c:strCache>
            </c:strRef>
          </c:cat>
          <c:val>
            <c:numRef>
              <c:f>Sheet1!$D$557:$H$557</c:f>
              <c:numCache>
                <c:formatCode>General</c:formatCode>
                <c:ptCount val="5"/>
                <c:pt idx="0">
                  <c:v>16.844444444444445</c:v>
                </c:pt>
                <c:pt idx="1">
                  <c:v>16.204301075268816</c:v>
                </c:pt>
                <c:pt idx="2">
                  <c:v>16.051020408163257</c:v>
                </c:pt>
                <c:pt idx="3">
                  <c:v>15.255555555555556</c:v>
                </c:pt>
                <c:pt idx="4">
                  <c:v>15.172043010752692</c:v>
                </c:pt>
              </c:numCache>
            </c:numRef>
          </c:val>
        </c:ser>
        <c:ser>
          <c:idx val="2"/>
          <c:order val="2"/>
          <c:tx>
            <c:strRef>
              <c:f>Sheet1!$C$558</c:f>
              <c:strCache>
                <c:ptCount val="1"/>
                <c:pt idx="0">
                  <c:v>Shire County average</c:v>
                </c:pt>
              </c:strCache>
            </c:strRef>
          </c:tx>
          <c:spPr>
            <a:ln w="25400">
              <a:solidFill>
                <a:schemeClr val="accent1">
                  <a:lumMod val="60000"/>
                  <a:lumOff val="40000"/>
                </a:schemeClr>
              </a:solidFill>
              <a:prstDash val="sysDot"/>
            </a:ln>
          </c:spPr>
          <c:marker>
            <c:symbol val="none"/>
          </c:marker>
          <c:cat>
            <c:strRef>
              <c:f>Sheet1!$D$555:$H$555</c:f>
              <c:strCache>
                <c:ptCount val="5"/>
                <c:pt idx="0">
                  <c:v>2012/13</c:v>
                </c:pt>
                <c:pt idx="1">
                  <c:v>2013/14</c:v>
                </c:pt>
                <c:pt idx="2">
                  <c:v>2014/15</c:v>
                </c:pt>
                <c:pt idx="3">
                  <c:v>2015/16</c:v>
                </c:pt>
                <c:pt idx="4">
                  <c:v>2016/17</c:v>
                </c:pt>
              </c:strCache>
            </c:strRef>
          </c:cat>
          <c:val>
            <c:numRef>
              <c:f>Sheet1!$D$558:$H$558</c:f>
              <c:numCache>
                <c:formatCode>General</c:formatCode>
                <c:ptCount val="5"/>
                <c:pt idx="0">
                  <c:v>19.64</c:v>
                </c:pt>
                <c:pt idx="1">
                  <c:v>20.52</c:v>
                </c:pt>
                <c:pt idx="2">
                  <c:v>19.65384615384616</c:v>
                </c:pt>
                <c:pt idx="3">
                  <c:v>17.8</c:v>
                </c:pt>
                <c:pt idx="4">
                  <c:v>18.923076923076923</c:v>
                </c:pt>
              </c:numCache>
            </c:numRef>
          </c:val>
        </c:ser>
        <c:marker val="1"/>
        <c:axId val="152640512"/>
        <c:axId val="152642304"/>
      </c:lineChart>
      <c:catAx>
        <c:axId val="152640512"/>
        <c:scaling>
          <c:orientation val="minMax"/>
        </c:scaling>
        <c:axPos val="b"/>
        <c:tickLblPos val="nextTo"/>
        <c:crossAx val="152642304"/>
        <c:crosses val="autoZero"/>
        <c:auto val="1"/>
        <c:lblAlgn val="ctr"/>
        <c:lblOffset val="100"/>
      </c:catAx>
      <c:valAx>
        <c:axId val="152642304"/>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5264051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Average speed on local 'A' roads</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numRef>
              <c:f>Sheet1!$D$176:$F$176</c:f>
              <c:numCache>
                <c:formatCode>General</c:formatCode>
                <c:ptCount val="3"/>
                <c:pt idx="0">
                  <c:v>2015</c:v>
                </c:pt>
                <c:pt idx="1">
                  <c:v>2016</c:v>
                </c:pt>
                <c:pt idx="2">
                  <c:v>2017</c:v>
                </c:pt>
              </c:numCache>
            </c:numRef>
          </c:cat>
          <c:val>
            <c:numRef>
              <c:f>Sheet1!$D$177:$F$177</c:f>
              <c:numCache>
                <c:formatCode>General</c:formatCode>
                <c:ptCount val="3"/>
                <c:pt idx="0">
                  <c:v>33.685000000000002</c:v>
                </c:pt>
                <c:pt idx="1">
                  <c:v>33.280000000000008</c:v>
                </c:pt>
                <c:pt idx="2">
                  <c:v>33.260000000000012</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numRef>
              <c:f>Sheet1!$D$176:$F$176</c:f>
              <c:numCache>
                <c:formatCode>General</c:formatCode>
                <c:ptCount val="3"/>
                <c:pt idx="0">
                  <c:v>2015</c:v>
                </c:pt>
                <c:pt idx="1">
                  <c:v>2016</c:v>
                </c:pt>
                <c:pt idx="2">
                  <c:v>2017</c:v>
                </c:pt>
              </c:numCache>
            </c:numRef>
          </c:cat>
          <c:val>
            <c:numRef>
              <c:f>Sheet1!$D$178:$F$178</c:f>
              <c:numCache>
                <c:formatCode>General</c:formatCode>
                <c:ptCount val="3"/>
                <c:pt idx="0">
                  <c:v>21.599999999999991</c:v>
                </c:pt>
                <c:pt idx="1">
                  <c:v>21.330000000000005</c:v>
                </c:pt>
                <c:pt idx="2">
                  <c:v>21.235454545454541</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numRef>
              <c:f>Sheet1!$D$176:$F$176</c:f>
              <c:numCache>
                <c:formatCode>General</c:formatCode>
                <c:ptCount val="3"/>
                <c:pt idx="0">
                  <c:v>2015</c:v>
                </c:pt>
                <c:pt idx="1">
                  <c:v>2016</c:v>
                </c:pt>
                <c:pt idx="2">
                  <c:v>2017</c:v>
                </c:pt>
              </c:numCache>
            </c:numRef>
          </c:cat>
          <c:val>
            <c:numRef>
              <c:f>Sheet1!$D$179:$F$179</c:f>
              <c:numCache>
                <c:formatCode>General</c:formatCode>
                <c:ptCount val="3"/>
                <c:pt idx="0">
                  <c:v>31.277777777777779</c:v>
                </c:pt>
                <c:pt idx="1">
                  <c:v>30.903703703703698</c:v>
                </c:pt>
                <c:pt idx="2">
                  <c:v>30.822222222222219</c:v>
                </c:pt>
              </c:numCache>
            </c:numRef>
          </c:val>
        </c:ser>
        <c:ser>
          <c:idx val="3"/>
          <c:order val="3"/>
          <c:tx>
            <c:strRef>
              <c:f>Sheet1!$C$180</c:f>
              <c:strCache>
                <c:ptCount val="1"/>
                <c:pt idx="0">
                  <c:v>Dorset</c:v>
                </c:pt>
              </c:strCache>
            </c:strRef>
          </c:tx>
          <c:spPr>
            <a:ln w="25400">
              <a:solidFill>
                <a:schemeClr val="tx1"/>
              </a:solidFill>
            </a:ln>
          </c:spPr>
          <c:marker>
            <c:symbol val="none"/>
          </c:marker>
          <c:cat>
            <c:numRef>
              <c:f>Sheet1!$D$176:$F$176</c:f>
              <c:numCache>
                <c:formatCode>General</c:formatCode>
                <c:ptCount val="3"/>
                <c:pt idx="0">
                  <c:v>2015</c:v>
                </c:pt>
                <c:pt idx="1">
                  <c:v>2016</c:v>
                </c:pt>
                <c:pt idx="2">
                  <c:v>2017</c:v>
                </c:pt>
              </c:numCache>
            </c:numRef>
          </c:cat>
          <c:val>
            <c:numRef>
              <c:f>Sheet1!$D$180:$F$180</c:f>
              <c:numCache>
                <c:formatCode>General</c:formatCode>
                <c:ptCount val="3"/>
                <c:pt idx="0">
                  <c:v>34.9</c:v>
                </c:pt>
                <c:pt idx="1">
                  <c:v>34.300000000000011</c:v>
                </c:pt>
                <c:pt idx="2">
                  <c:v>35</c:v>
                </c:pt>
              </c:numCache>
            </c:numRef>
          </c:val>
        </c:ser>
        <c:marker val="1"/>
        <c:axId val="152697856"/>
        <c:axId val="152572672"/>
      </c:lineChart>
      <c:catAx>
        <c:axId val="152697856"/>
        <c:scaling>
          <c:orientation val="minMax"/>
        </c:scaling>
        <c:axPos val="b"/>
        <c:numFmt formatCode="General" sourceLinked="1"/>
        <c:tickLblPos val="nextTo"/>
        <c:crossAx val="152572672"/>
        <c:crosses val="autoZero"/>
        <c:auto val="1"/>
        <c:lblAlgn val="ctr"/>
        <c:lblOffset val="100"/>
      </c:catAx>
      <c:valAx>
        <c:axId val="152572672"/>
        <c:scaling>
          <c:orientation val="minMax"/>
        </c:scaling>
        <c:axPos val="l"/>
        <c:majorGridlines/>
        <c:title>
          <c:tx>
            <c:strRef>
              <c:f>Sheet1!$C$181</c:f>
              <c:strCache>
                <c:ptCount val="1"/>
                <c:pt idx="0">
                  <c:v>mph</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697856"/>
        <c:crosses val="autoZero"/>
        <c:crossBetween val="between"/>
      </c:valAx>
    </c:plotArea>
    <c:legend>
      <c:legendPos val="r"/>
      <c:txPr>
        <a:bodyPr/>
        <a:lstStyle/>
        <a:p>
          <a:pPr>
            <a:defRPr sz="900"/>
          </a:pPr>
          <a:endParaRPr lang="en-US"/>
        </a:p>
      </c:txPr>
    </c:legend>
    <c:plotVisOnly val="1"/>
  </c:chart>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lang val="en-GB"/>
  <c:chart>
    <c:title>
      <c:tx>
        <c:strRef>
          <c:f>Sheet1!$C$376</c:f>
          <c:strCache>
            <c:ptCount val="1"/>
            <c:pt idx="0">
              <c:v>Average delay on locally managed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Sheet1!$C$377</c:f>
              <c:strCache>
                <c:ptCount val="1"/>
                <c:pt idx="0">
                  <c:v>Predominantly Rural average</c:v>
                </c:pt>
              </c:strCache>
            </c:strRef>
          </c:tx>
          <c:spPr>
            <a:ln w="25400">
              <a:solidFill>
                <a:schemeClr val="bg1">
                  <a:lumMod val="75000"/>
                </a:schemeClr>
              </a:solidFill>
            </a:ln>
          </c:spPr>
          <c:marker>
            <c:symbol val="none"/>
          </c:marker>
          <c:cat>
            <c:numRef>
              <c:f>Sheet1!$D$376:$F$376</c:f>
              <c:numCache>
                <c:formatCode>General</c:formatCode>
                <c:ptCount val="3"/>
                <c:pt idx="0">
                  <c:v>2015</c:v>
                </c:pt>
                <c:pt idx="1">
                  <c:v>2016</c:v>
                </c:pt>
                <c:pt idx="2">
                  <c:v>2017</c:v>
                </c:pt>
              </c:numCache>
            </c:numRef>
          </c:cat>
          <c:val>
            <c:numRef>
              <c:f>Sheet1!$D$377:$F$377</c:f>
              <c:numCache>
                <c:formatCode>General</c:formatCode>
                <c:ptCount val="3"/>
                <c:pt idx="0">
                  <c:v>23.214999999999996</c:v>
                </c:pt>
                <c:pt idx="1">
                  <c:v>23.964999999999996</c:v>
                </c:pt>
                <c:pt idx="2">
                  <c:v>24.619999999999997</c:v>
                </c:pt>
              </c:numCache>
            </c:numRef>
          </c:val>
        </c:ser>
        <c:ser>
          <c:idx val="1"/>
          <c:order val="1"/>
          <c:tx>
            <c:strRef>
              <c:f>Sheet1!$C$378</c:f>
              <c:strCache>
                <c:ptCount val="1"/>
                <c:pt idx="0">
                  <c:v>Predominantly Urban average</c:v>
                </c:pt>
              </c:strCache>
            </c:strRef>
          </c:tx>
          <c:spPr>
            <a:ln w="25400">
              <a:solidFill>
                <a:schemeClr val="accent6">
                  <a:lumMod val="75000"/>
                </a:schemeClr>
              </a:solidFill>
              <a:prstDash val="sysDash"/>
            </a:ln>
          </c:spPr>
          <c:marker>
            <c:symbol val="none"/>
          </c:marker>
          <c:cat>
            <c:numRef>
              <c:f>Sheet1!$D$376:$F$376</c:f>
              <c:numCache>
                <c:formatCode>General</c:formatCode>
                <c:ptCount val="3"/>
                <c:pt idx="0">
                  <c:v>2015</c:v>
                </c:pt>
                <c:pt idx="1">
                  <c:v>2016</c:v>
                </c:pt>
                <c:pt idx="2">
                  <c:v>2017</c:v>
                </c:pt>
              </c:numCache>
            </c:numRef>
          </c:cat>
          <c:val>
            <c:numRef>
              <c:f>Sheet1!$D$378:$F$378</c:f>
              <c:numCache>
                <c:formatCode>General</c:formatCode>
                <c:ptCount val="3"/>
                <c:pt idx="0">
                  <c:v>71.713636363636368</c:v>
                </c:pt>
                <c:pt idx="1">
                  <c:v>74.109090909090909</c:v>
                </c:pt>
                <c:pt idx="2">
                  <c:v>75.254545454545465</c:v>
                </c:pt>
              </c:numCache>
            </c:numRef>
          </c:val>
        </c:ser>
        <c:ser>
          <c:idx val="2"/>
          <c:order val="2"/>
          <c:tx>
            <c:strRef>
              <c:f>Sheet1!$C$379</c:f>
              <c:strCache>
                <c:ptCount val="1"/>
                <c:pt idx="0">
                  <c:v>Shire County average</c:v>
                </c:pt>
              </c:strCache>
            </c:strRef>
          </c:tx>
          <c:spPr>
            <a:ln w="25400">
              <a:solidFill>
                <a:schemeClr val="accent1">
                  <a:lumMod val="60000"/>
                  <a:lumOff val="40000"/>
                </a:schemeClr>
              </a:solidFill>
              <a:prstDash val="sysDot"/>
            </a:ln>
          </c:spPr>
          <c:marker>
            <c:symbol val="none"/>
          </c:marker>
          <c:cat>
            <c:numRef>
              <c:f>Sheet1!$D$376:$F$376</c:f>
              <c:numCache>
                <c:formatCode>General</c:formatCode>
                <c:ptCount val="3"/>
                <c:pt idx="0">
                  <c:v>2015</c:v>
                </c:pt>
                <c:pt idx="1">
                  <c:v>2016</c:v>
                </c:pt>
                <c:pt idx="2">
                  <c:v>2017</c:v>
                </c:pt>
              </c:numCache>
            </c:numRef>
          </c:cat>
          <c:val>
            <c:numRef>
              <c:f>Sheet1!$D$379:$F$379</c:f>
              <c:numCache>
                <c:formatCode>General</c:formatCode>
                <c:ptCount val="3"/>
                <c:pt idx="0">
                  <c:v>28.485185185185177</c:v>
                </c:pt>
                <c:pt idx="1">
                  <c:v>29.448148148148146</c:v>
                </c:pt>
                <c:pt idx="2">
                  <c:v>30.425925925925917</c:v>
                </c:pt>
              </c:numCache>
            </c:numRef>
          </c:val>
        </c:ser>
        <c:ser>
          <c:idx val="3"/>
          <c:order val="3"/>
          <c:tx>
            <c:strRef>
              <c:f>Sheet1!$C$380</c:f>
              <c:strCache>
                <c:ptCount val="1"/>
                <c:pt idx="0">
                  <c:v>Dorset</c:v>
                </c:pt>
              </c:strCache>
            </c:strRef>
          </c:tx>
          <c:spPr>
            <a:ln w="25400">
              <a:solidFill>
                <a:schemeClr val="tx1"/>
              </a:solidFill>
            </a:ln>
          </c:spPr>
          <c:marker>
            <c:symbol val="none"/>
          </c:marker>
          <c:cat>
            <c:numRef>
              <c:f>Sheet1!$D$376:$F$376</c:f>
              <c:numCache>
                <c:formatCode>General</c:formatCode>
                <c:ptCount val="3"/>
                <c:pt idx="0">
                  <c:v>2015</c:v>
                </c:pt>
                <c:pt idx="1">
                  <c:v>2016</c:v>
                </c:pt>
                <c:pt idx="2">
                  <c:v>2017</c:v>
                </c:pt>
              </c:numCache>
            </c:numRef>
          </c:cat>
          <c:val>
            <c:numRef>
              <c:f>Sheet1!$D$380:$F$380</c:f>
              <c:numCache>
                <c:formatCode>General</c:formatCode>
                <c:ptCount val="3"/>
                <c:pt idx="0">
                  <c:v>22.5</c:v>
                </c:pt>
                <c:pt idx="1">
                  <c:v>24</c:v>
                </c:pt>
                <c:pt idx="2">
                  <c:v>22.6</c:v>
                </c:pt>
              </c:numCache>
            </c:numRef>
          </c:val>
        </c:ser>
        <c:marker val="1"/>
        <c:axId val="152591744"/>
        <c:axId val="152601728"/>
      </c:lineChart>
      <c:catAx>
        <c:axId val="152591744"/>
        <c:scaling>
          <c:orientation val="minMax"/>
        </c:scaling>
        <c:axPos val="b"/>
        <c:numFmt formatCode="General" sourceLinked="1"/>
        <c:tickLblPos val="nextTo"/>
        <c:crossAx val="152601728"/>
        <c:crosses val="autoZero"/>
        <c:auto val="1"/>
        <c:lblAlgn val="ctr"/>
        <c:lblOffset val="100"/>
      </c:catAx>
      <c:valAx>
        <c:axId val="152601728"/>
        <c:scaling>
          <c:orientation val="minMax"/>
        </c:scaling>
        <c:axPos val="l"/>
        <c:majorGridlines/>
        <c:title>
          <c:tx>
            <c:strRef>
              <c:f>Sheet1!$C$381</c:f>
              <c:strCache>
                <c:ptCount val="1"/>
                <c:pt idx="0">
                  <c:v>seconds per vehicle per mile</c:v>
                </c:pt>
              </c:strCache>
            </c:strRef>
          </c:tx>
          <c:layout/>
          <c:txPr>
            <a:bodyPr rot="-5400000" vert="horz"/>
            <a:lstStyle/>
            <a:p>
              <a:pPr>
                <a:defRPr/>
              </a:pPr>
              <a:endParaRPr lang="en-US"/>
            </a:p>
          </c:txPr>
        </c:title>
        <c:numFmt formatCode="General" sourceLinked="1"/>
        <c:tickLblPos val="nextTo"/>
        <c:crossAx val="152591744"/>
        <c:crosses val="autoZero"/>
        <c:crossBetween val="between"/>
      </c:valAx>
    </c:plotArea>
    <c:legend>
      <c:legendPos val="r"/>
      <c:layout/>
    </c:legend>
    <c:plotVisOnly val="1"/>
  </c:chart>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lang val="en-GB"/>
  <c:chart>
    <c:title>
      <c:tx>
        <c:strRef>
          <c:f>Sheet1!$C$385</c:f>
          <c:strCache>
            <c:ptCount val="1"/>
            <c:pt idx="0">
              <c:v>Proportion of adults who do any walking or cycling, for any purpose,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Sheet1!$C$386</c:f>
              <c:strCache>
                <c:ptCount val="1"/>
                <c:pt idx="0">
                  <c:v>Predominantly Rural average</c:v>
                </c:pt>
              </c:strCache>
            </c:strRef>
          </c:tx>
          <c:spPr>
            <a:solidFill>
              <a:schemeClr val="bg1">
                <a:lumMod val="75000"/>
              </a:schemeClr>
            </a:solidFill>
          </c:spPr>
          <c:cat>
            <c:strRef>
              <c:f>Sheet1!$D$385:$G$385</c:f>
              <c:strCache>
                <c:ptCount val="4"/>
                <c:pt idx="0">
                  <c:v>Once per month</c:v>
                </c:pt>
                <c:pt idx="1">
                  <c:v>Once per week</c:v>
                </c:pt>
                <c:pt idx="2">
                  <c:v>Three times per week</c:v>
                </c:pt>
                <c:pt idx="3">
                  <c:v>Five times per week</c:v>
                </c:pt>
              </c:strCache>
            </c:strRef>
          </c:cat>
          <c:val>
            <c:numRef>
              <c:f>Sheet1!$D$386:$G$386</c:f>
              <c:numCache>
                <c:formatCode>General</c:formatCode>
                <c:ptCount val="4"/>
                <c:pt idx="0">
                  <c:v>79.994502318271913</c:v>
                </c:pt>
                <c:pt idx="1">
                  <c:v>71.175824559937908</c:v>
                </c:pt>
                <c:pt idx="2">
                  <c:v>45.685015788498369</c:v>
                </c:pt>
                <c:pt idx="3">
                  <c:v>33.376804465942683</c:v>
                </c:pt>
              </c:numCache>
            </c:numRef>
          </c:val>
        </c:ser>
        <c:ser>
          <c:idx val="1"/>
          <c:order val="1"/>
          <c:tx>
            <c:strRef>
              <c:f>Sheet1!$C$387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Sheet1!$D$385:$G$385</c:f>
              <c:strCache>
                <c:ptCount val="4"/>
                <c:pt idx="0">
                  <c:v>Once per month</c:v>
                </c:pt>
                <c:pt idx="1">
                  <c:v>Once per week</c:v>
                </c:pt>
                <c:pt idx="2">
                  <c:v>Three times per week</c:v>
                </c:pt>
                <c:pt idx="3">
                  <c:v>Five times per week</c:v>
                </c:pt>
              </c:strCache>
            </c:strRef>
          </c:cat>
          <c:val>
            <c:numRef>
              <c:f>Sheet1!$D$387:$G$387</c:f>
              <c:numCache>
                <c:formatCode>General</c:formatCode>
                <c:ptCount val="4"/>
                <c:pt idx="0">
                  <c:v>78.833890472472945</c:v>
                </c:pt>
                <c:pt idx="1">
                  <c:v>70.482260135677919</c:v>
                </c:pt>
                <c:pt idx="2">
                  <c:v>45.946457647104232</c:v>
                </c:pt>
                <c:pt idx="3">
                  <c:v>34.530342869130905</c:v>
                </c:pt>
              </c:numCache>
            </c:numRef>
          </c:val>
        </c:ser>
        <c:ser>
          <c:idx val="2"/>
          <c:order val="2"/>
          <c:tx>
            <c:strRef>
              <c:f>Sheet1!$C$388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Sheet1!$D$385:$G$385</c:f>
              <c:strCache>
                <c:ptCount val="4"/>
                <c:pt idx="0">
                  <c:v>Once per month</c:v>
                </c:pt>
                <c:pt idx="1">
                  <c:v>Once per week</c:v>
                </c:pt>
                <c:pt idx="2">
                  <c:v>Three times per week</c:v>
                </c:pt>
                <c:pt idx="3">
                  <c:v>Five times per week</c:v>
                </c:pt>
              </c:strCache>
            </c:strRef>
          </c:cat>
          <c:val>
            <c:numRef>
              <c:f>Sheet1!$D$388:$G$388</c:f>
              <c:numCache>
                <c:formatCode>General</c:formatCode>
                <c:ptCount val="4"/>
                <c:pt idx="0">
                  <c:v>80.153895058585633</c:v>
                </c:pt>
                <c:pt idx="1">
                  <c:v>71.412609944731102</c:v>
                </c:pt>
                <c:pt idx="2">
                  <c:v>45.952727936612611</c:v>
                </c:pt>
                <c:pt idx="3">
                  <c:v>33.954058885812124</c:v>
                </c:pt>
              </c:numCache>
            </c:numRef>
          </c:val>
        </c:ser>
        <c:ser>
          <c:idx val="3"/>
          <c:order val="3"/>
          <c:tx>
            <c:strRef>
              <c:f>Sheet1!$C$389</c:f>
              <c:strCache>
                <c:ptCount val="1"/>
                <c:pt idx="0">
                  <c:v>Dorset</c:v>
                </c:pt>
              </c:strCache>
            </c:strRef>
          </c:tx>
          <c:spPr>
            <a:solidFill>
              <a:schemeClr val="tx1"/>
            </a:solidFill>
          </c:spPr>
          <c:cat>
            <c:strRef>
              <c:f>Sheet1!$D$385:$G$385</c:f>
              <c:strCache>
                <c:ptCount val="4"/>
                <c:pt idx="0">
                  <c:v>Once per month</c:v>
                </c:pt>
                <c:pt idx="1">
                  <c:v>Once per week</c:v>
                </c:pt>
                <c:pt idx="2">
                  <c:v>Three times per week</c:v>
                </c:pt>
                <c:pt idx="3">
                  <c:v>Five times per week</c:v>
                </c:pt>
              </c:strCache>
            </c:strRef>
          </c:cat>
          <c:val>
            <c:numRef>
              <c:f>Sheet1!$D$389:$G$389</c:f>
              <c:numCache>
                <c:formatCode>General</c:formatCode>
                <c:ptCount val="4"/>
                <c:pt idx="0">
                  <c:v>81.312219816813297</c:v>
                </c:pt>
                <c:pt idx="1">
                  <c:v>72.533463850723734</c:v>
                </c:pt>
                <c:pt idx="2">
                  <c:v>45.601311422328919</c:v>
                </c:pt>
                <c:pt idx="3">
                  <c:v>33.850818129741832</c:v>
                </c:pt>
              </c:numCache>
            </c:numRef>
          </c:val>
        </c:ser>
        <c:axId val="152793856"/>
        <c:axId val="152795392"/>
      </c:barChart>
      <c:catAx>
        <c:axId val="152793856"/>
        <c:scaling>
          <c:orientation val="minMax"/>
        </c:scaling>
        <c:axPos val="b"/>
        <c:tickLblPos val="nextTo"/>
        <c:txPr>
          <a:bodyPr/>
          <a:lstStyle/>
          <a:p>
            <a:pPr>
              <a:defRPr sz="800"/>
            </a:pPr>
            <a:endParaRPr lang="en-US"/>
          </a:p>
        </c:txPr>
        <c:crossAx val="152795392"/>
        <c:crosses val="autoZero"/>
        <c:auto val="1"/>
        <c:lblAlgn val="ctr"/>
        <c:lblOffset val="100"/>
      </c:catAx>
      <c:valAx>
        <c:axId val="152795392"/>
        <c:scaling>
          <c:orientation val="minMax"/>
        </c:scaling>
        <c:axPos val="l"/>
        <c:majorGridlines/>
        <c:title>
          <c:tx>
            <c:strRef>
              <c:f>Sheet1!$C$390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2793856"/>
        <c:crosses val="autoZero"/>
        <c:crossBetween val="between"/>
      </c:valAx>
    </c:plotArea>
    <c:legend>
      <c:legendPos val="r"/>
      <c:layout/>
      <c:txPr>
        <a:bodyPr/>
        <a:lstStyle/>
        <a:p>
          <a:pPr>
            <a:defRPr sz="800"/>
          </a:pPr>
          <a:endParaRPr lang="en-US"/>
        </a:p>
      </c:txPr>
    </c:legend>
    <c:plotVisOnly val="1"/>
  </c:chart>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lang val="en-GB"/>
  <c:chart>
    <c:title>
      <c:tx>
        <c:strRef>
          <c:f>Sheet1!$O$385</c:f>
          <c:strCache>
            <c:ptCount val="1"/>
            <c:pt idx="0">
              <c:v>Proportion of adults that do any cycling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Sheet1!$P$385:$S$385</c:f>
              <c:strCache>
                <c:ptCount val="4"/>
                <c:pt idx="0">
                  <c:v>Once per month</c:v>
                </c:pt>
                <c:pt idx="1">
                  <c:v>Once per week</c:v>
                </c:pt>
                <c:pt idx="2">
                  <c:v>Three times per week</c:v>
                </c:pt>
                <c:pt idx="3">
                  <c:v>Five times per week</c:v>
                </c:pt>
              </c:strCache>
            </c:strRef>
          </c:cat>
          <c:val>
            <c:numRef>
              <c:f>Sheet1!$P$386:$S$386</c:f>
              <c:numCache>
                <c:formatCode>General</c:formatCode>
                <c:ptCount val="4"/>
                <c:pt idx="0">
                  <c:v>18.62971445642463</c:v>
                </c:pt>
                <c:pt idx="1">
                  <c:v>12.317848917802099</c:v>
                </c:pt>
                <c:pt idx="2">
                  <c:v>4.9864778654535042</c:v>
                </c:pt>
                <c:pt idx="3">
                  <c:v>2.6135655863943055</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Sheet1!$P$385:$S$385</c:f>
              <c:strCache>
                <c:ptCount val="4"/>
                <c:pt idx="0">
                  <c:v>Once per month</c:v>
                </c:pt>
                <c:pt idx="1">
                  <c:v>Once per week</c:v>
                </c:pt>
                <c:pt idx="2">
                  <c:v>Three times per week</c:v>
                </c:pt>
                <c:pt idx="3">
                  <c:v>Five times per week</c:v>
                </c:pt>
              </c:strCache>
            </c:strRef>
          </c:cat>
          <c:val>
            <c:numRef>
              <c:f>Sheet1!$P$387:$S$387</c:f>
              <c:numCache>
                <c:formatCode>General</c:formatCode>
                <c:ptCount val="4"/>
                <c:pt idx="0">
                  <c:v>17.202029246923846</c:v>
                </c:pt>
                <c:pt idx="1">
                  <c:v>12.269124925258293</c:v>
                </c:pt>
                <c:pt idx="2">
                  <c:v>6.1482032257443429</c:v>
                </c:pt>
                <c:pt idx="3">
                  <c:v>3.7542337550957745</c:v>
                </c:pt>
              </c:numCache>
            </c:numRef>
          </c:val>
        </c:ser>
        <c:ser>
          <c:idx val="2"/>
          <c:order val="2"/>
          <c:tx>
            <c:strRef>
              <c:f>Sheet1!$O$388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Sheet1!$P$385:$S$385</c:f>
              <c:strCache>
                <c:ptCount val="4"/>
                <c:pt idx="0">
                  <c:v>Once per month</c:v>
                </c:pt>
                <c:pt idx="1">
                  <c:v>Once per week</c:v>
                </c:pt>
                <c:pt idx="2">
                  <c:v>Three times per week</c:v>
                </c:pt>
                <c:pt idx="3">
                  <c:v>Five times per week</c:v>
                </c:pt>
              </c:strCache>
            </c:strRef>
          </c:cat>
          <c:val>
            <c:numRef>
              <c:f>Sheet1!$P$388:$S$388</c:f>
              <c:numCache>
                <c:formatCode>General</c:formatCode>
                <c:ptCount val="4"/>
                <c:pt idx="0">
                  <c:v>18.894984348499957</c:v>
                </c:pt>
                <c:pt idx="1">
                  <c:v>12.908325481812126</c:v>
                </c:pt>
                <c:pt idx="2">
                  <c:v>5.9409896594042984</c:v>
                </c:pt>
                <c:pt idx="3">
                  <c:v>3.3917708171478571</c:v>
                </c:pt>
              </c:numCache>
            </c:numRef>
          </c:val>
        </c:ser>
        <c:ser>
          <c:idx val="3"/>
          <c:order val="3"/>
          <c:tx>
            <c:strRef>
              <c:f>Sheet1!$O$389</c:f>
              <c:strCache>
                <c:ptCount val="1"/>
                <c:pt idx="0">
                  <c:v>Dorset</c:v>
                </c:pt>
              </c:strCache>
            </c:strRef>
          </c:tx>
          <c:spPr>
            <a:solidFill>
              <a:schemeClr val="tx1"/>
            </a:solidFill>
          </c:spPr>
          <c:cat>
            <c:strRef>
              <c:f>Sheet1!$P$385:$S$385</c:f>
              <c:strCache>
                <c:ptCount val="4"/>
                <c:pt idx="0">
                  <c:v>Once per month</c:v>
                </c:pt>
                <c:pt idx="1">
                  <c:v>Once per week</c:v>
                </c:pt>
                <c:pt idx="2">
                  <c:v>Three times per week</c:v>
                </c:pt>
                <c:pt idx="3">
                  <c:v>Five times per week</c:v>
                </c:pt>
              </c:strCache>
            </c:strRef>
          </c:cat>
          <c:val>
            <c:numRef>
              <c:f>Sheet1!$P$389:$S$389</c:f>
              <c:numCache>
                <c:formatCode>General</c:formatCode>
                <c:ptCount val="4"/>
                <c:pt idx="0">
                  <c:v>20.397592161621361</c:v>
                </c:pt>
                <c:pt idx="1">
                  <c:v>14.172602112955863</c:v>
                </c:pt>
                <c:pt idx="2">
                  <c:v>6.1087892222726561</c:v>
                </c:pt>
                <c:pt idx="3">
                  <c:v>2.9793530864003137</c:v>
                </c:pt>
              </c:numCache>
            </c:numRef>
          </c:val>
        </c:ser>
        <c:axId val="152822912"/>
        <c:axId val="152824448"/>
      </c:barChart>
      <c:catAx>
        <c:axId val="152822912"/>
        <c:scaling>
          <c:orientation val="minMax"/>
        </c:scaling>
        <c:axPos val="b"/>
        <c:numFmt formatCode="General" sourceLinked="1"/>
        <c:tickLblPos val="nextTo"/>
        <c:txPr>
          <a:bodyPr/>
          <a:lstStyle/>
          <a:p>
            <a:pPr>
              <a:defRPr sz="800"/>
            </a:pPr>
            <a:endParaRPr lang="en-US"/>
          </a:p>
        </c:txPr>
        <c:crossAx val="152824448"/>
        <c:crosses val="autoZero"/>
        <c:auto val="1"/>
        <c:lblAlgn val="ctr"/>
        <c:lblOffset val="100"/>
      </c:catAx>
      <c:valAx>
        <c:axId val="152824448"/>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2822912"/>
        <c:crosses val="autoZero"/>
        <c:crossBetween val="between"/>
      </c:valAx>
    </c:plotArea>
    <c:legend>
      <c:legendPos val="r"/>
      <c:layout/>
      <c:txPr>
        <a:bodyPr/>
        <a:lstStyle/>
        <a:p>
          <a:pPr>
            <a:defRPr sz="800"/>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title>
      <c:tx>
        <c:strRef>
          <c:f>Sheet1!$BT$379</c:f>
          <c:strCache>
            <c:ptCount val="1"/>
            <c:pt idx="0">
              <c:v>Travel time to nearest employment centre with at least 5000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Sheet1!$BT$380</c:f>
              <c:strCache>
                <c:ptCount val="1"/>
                <c:pt idx="0">
                  <c:v>Predominantly Rural average</c:v>
                </c:pt>
              </c:strCache>
            </c:strRef>
          </c:tx>
          <c:spPr>
            <a:ln w="25400">
              <a:solidFill>
                <a:schemeClr val="bg1">
                  <a:lumMod val="65000"/>
                </a:schemeClr>
              </a:solidFill>
            </a:ln>
          </c:spPr>
          <c:marker>
            <c:symbol val="none"/>
          </c:marker>
          <c:cat>
            <c:numRef>
              <c:f>Sheet1!$BU$379:$BW$379</c:f>
              <c:numCache>
                <c:formatCode>General</c:formatCode>
                <c:ptCount val="3"/>
                <c:pt idx="0">
                  <c:v>2014</c:v>
                </c:pt>
                <c:pt idx="1">
                  <c:v>2015</c:v>
                </c:pt>
                <c:pt idx="2">
                  <c:v>2016</c:v>
                </c:pt>
              </c:numCache>
            </c:numRef>
          </c:cat>
          <c:val>
            <c:numRef>
              <c:f>Sheet1!$BU$380:$BW$380</c:f>
              <c:numCache>
                <c:formatCode>General</c:formatCode>
                <c:ptCount val="3"/>
                <c:pt idx="0">
                  <c:v>53.574551556812388</c:v>
                </c:pt>
                <c:pt idx="1">
                  <c:v>54.474679226812057</c:v>
                </c:pt>
                <c:pt idx="2">
                  <c:v>54.191171905604087</c:v>
                </c:pt>
              </c:numCache>
            </c:numRef>
          </c:val>
        </c:ser>
        <c:ser>
          <c:idx val="2"/>
          <c:order val="1"/>
          <c:tx>
            <c:strRef>
              <c:f>Sheet1!$BT$381</c:f>
              <c:strCache>
                <c:ptCount val="1"/>
                <c:pt idx="0">
                  <c:v>Predominantly Urban average</c:v>
                </c:pt>
              </c:strCache>
            </c:strRef>
          </c:tx>
          <c:spPr>
            <a:ln w="25400">
              <a:solidFill>
                <a:schemeClr val="accent6">
                  <a:lumMod val="75000"/>
                </a:schemeClr>
              </a:solidFill>
              <a:prstDash val="sysDash"/>
            </a:ln>
          </c:spPr>
          <c:marker>
            <c:symbol val="none"/>
          </c:marker>
          <c:cat>
            <c:numRef>
              <c:f>Sheet1!$BU$379:$BW$379</c:f>
              <c:numCache>
                <c:formatCode>General</c:formatCode>
                <c:ptCount val="3"/>
                <c:pt idx="0">
                  <c:v>2014</c:v>
                </c:pt>
                <c:pt idx="1">
                  <c:v>2015</c:v>
                </c:pt>
                <c:pt idx="2">
                  <c:v>2016</c:v>
                </c:pt>
              </c:numCache>
            </c:numRef>
          </c:cat>
          <c:val>
            <c:numRef>
              <c:f>Sheet1!$BU$381:$BW$381</c:f>
              <c:numCache>
                <c:formatCode>General</c:formatCode>
                <c:ptCount val="3"/>
                <c:pt idx="0">
                  <c:v>26.539820232972112</c:v>
                </c:pt>
                <c:pt idx="1">
                  <c:v>26.413549030206369</c:v>
                </c:pt>
                <c:pt idx="2">
                  <c:v>26.66775564730273</c:v>
                </c:pt>
              </c:numCache>
            </c:numRef>
          </c:val>
        </c:ser>
        <c:ser>
          <c:idx val="3"/>
          <c:order val="2"/>
          <c:tx>
            <c:strRef>
              <c:f>Sheet1!$BT$382</c:f>
              <c:strCache>
                <c:ptCount val="1"/>
                <c:pt idx="0">
                  <c:v>Shire County average</c:v>
                </c:pt>
              </c:strCache>
            </c:strRef>
          </c:tx>
          <c:spPr>
            <a:ln w="25400">
              <a:solidFill>
                <a:schemeClr val="accent1">
                  <a:lumMod val="40000"/>
                  <a:lumOff val="60000"/>
                </a:schemeClr>
              </a:solidFill>
              <a:prstDash val="sysDot"/>
            </a:ln>
          </c:spPr>
          <c:marker>
            <c:symbol val="none"/>
          </c:marker>
          <c:cat>
            <c:numRef>
              <c:f>Sheet1!$BU$379:$BW$379</c:f>
              <c:numCache>
                <c:formatCode>General</c:formatCode>
                <c:ptCount val="3"/>
                <c:pt idx="0">
                  <c:v>2014</c:v>
                </c:pt>
                <c:pt idx="1">
                  <c:v>2015</c:v>
                </c:pt>
                <c:pt idx="2">
                  <c:v>2016</c:v>
                </c:pt>
              </c:numCache>
            </c:numRef>
          </c:cat>
          <c:val>
            <c:numRef>
              <c:f>Sheet1!$BU$382:$BW$382</c:f>
              <c:numCache>
                <c:formatCode>General</c:formatCode>
                <c:ptCount val="3"/>
                <c:pt idx="0">
                  <c:v>41.794719867108974</c:v>
                </c:pt>
                <c:pt idx="1">
                  <c:v>42.228668916530523</c:v>
                </c:pt>
                <c:pt idx="2">
                  <c:v>42.368457149325181</c:v>
                </c:pt>
              </c:numCache>
            </c:numRef>
          </c:val>
        </c:ser>
        <c:ser>
          <c:idx val="4"/>
          <c:order val="3"/>
          <c:tx>
            <c:strRef>
              <c:f>Sheet1!$BT$383</c:f>
              <c:strCache>
                <c:ptCount val="1"/>
                <c:pt idx="0">
                  <c:v>Dorset</c:v>
                </c:pt>
              </c:strCache>
            </c:strRef>
          </c:tx>
          <c:spPr>
            <a:ln w="25400">
              <a:solidFill>
                <a:schemeClr val="tx1"/>
              </a:solidFill>
            </a:ln>
          </c:spPr>
          <c:marker>
            <c:symbol val="none"/>
          </c:marker>
          <c:cat>
            <c:numRef>
              <c:f>Sheet1!$BU$379:$BW$379</c:f>
              <c:numCache>
                <c:formatCode>General</c:formatCode>
                <c:ptCount val="3"/>
                <c:pt idx="0">
                  <c:v>2014</c:v>
                </c:pt>
                <c:pt idx="1">
                  <c:v>2015</c:v>
                </c:pt>
                <c:pt idx="2">
                  <c:v>2016</c:v>
                </c:pt>
              </c:numCache>
            </c:numRef>
          </c:cat>
          <c:val>
            <c:numRef>
              <c:f>Sheet1!$BU$383:$BW$383</c:f>
              <c:numCache>
                <c:formatCode>General</c:formatCode>
                <c:ptCount val="3"/>
                <c:pt idx="0">
                  <c:v>47.103714929843001</c:v>
                </c:pt>
                <c:pt idx="1">
                  <c:v>47.81560817661795</c:v>
                </c:pt>
                <c:pt idx="2">
                  <c:v>47.936719151775101</c:v>
                </c:pt>
              </c:numCache>
            </c:numRef>
          </c:val>
        </c:ser>
        <c:marker val="1"/>
        <c:axId val="149829504"/>
        <c:axId val="149831040"/>
      </c:lineChart>
      <c:catAx>
        <c:axId val="149829504"/>
        <c:scaling>
          <c:orientation val="minMax"/>
        </c:scaling>
        <c:axPos val="b"/>
        <c:numFmt formatCode="General" sourceLinked="1"/>
        <c:tickLblPos val="nextTo"/>
        <c:crossAx val="149831040"/>
        <c:crosses val="autoZero"/>
        <c:auto val="1"/>
        <c:lblAlgn val="ctr"/>
        <c:lblOffset val="100"/>
      </c:catAx>
      <c:valAx>
        <c:axId val="149831040"/>
        <c:scaling>
          <c:orientation val="minMax"/>
        </c:scaling>
        <c:axPos val="l"/>
        <c:majorGridlines/>
        <c:title>
          <c:tx>
            <c:strRef>
              <c:f>Sheet1!$BT$384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829504"/>
        <c:crosses val="autoZero"/>
        <c:crossBetween val="between"/>
      </c:valAx>
    </c:plotArea>
    <c:legend>
      <c:legendPos val="r"/>
      <c:txPr>
        <a:bodyPr/>
        <a:lstStyle/>
        <a:p>
          <a:pPr>
            <a:defRPr sz="800"/>
          </a:pPr>
          <a:endParaRPr lang="en-US"/>
        </a:p>
      </c:txPr>
    </c:legend>
    <c:plotVisOnly val="1"/>
  </c:chart>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lang val="en-GB"/>
  <c:chart>
    <c:title>
      <c:tx>
        <c:strRef>
          <c:f>Sheet1!$T$385</c:f>
          <c:strCache>
            <c:ptCount val="1"/>
            <c:pt idx="0">
              <c:v>Proportion of adults that cycle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Sheet1!$U$385:$X$385</c:f>
              <c:strCache>
                <c:ptCount val="4"/>
                <c:pt idx="0">
                  <c:v>Once per month</c:v>
                </c:pt>
                <c:pt idx="1">
                  <c:v>Once per week</c:v>
                </c:pt>
                <c:pt idx="2">
                  <c:v>Three times per week</c:v>
                </c:pt>
                <c:pt idx="3">
                  <c:v>Five times per week</c:v>
                </c:pt>
              </c:strCache>
            </c:strRef>
          </c:cat>
          <c:val>
            <c:numRef>
              <c:f>Sheet1!$U$386:$X$386</c:f>
              <c:numCache>
                <c:formatCode>General</c:formatCode>
                <c:ptCount val="4"/>
                <c:pt idx="0">
                  <c:v>16.151674197939037</c:v>
                </c:pt>
                <c:pt idx="1">
                  <c:v>9.3440235113504304</c:v>
                </c:pt>
                <c:pt idx="2">
                  <c:v>2.6070059281069131</c:v>
                </c:pt>
                <c:pt idx="3">
                  <c:v>1.147905228434102</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Sheet1!$U$385:$X$385</c:f>
              <c:strCache>
                <c:ptCount val="4"/>
                <c:pt idx="0">
                  <c:v>Once per month</c:v>
                </c:pt>
                <c:pt idx="1">
                  <c:v>Once per week</c:v>
                </c:pt>
                <c:pt idx="2">
                  <c:v>Three times per week</c:v>
                </c:pt>
                <c:pt idx="3">
                  <c:v>Five times per week</c:v>
                </c:pt>
              </c:strCache>
            </c:strRef>
          </c:cat>
          <c:val>
            <c:numRef>
              <c:f>Sheet1!$U$387:$X$387</c:f>
              <c:numCache>
                <c:formatCode>General</c:formatCode>
                <c:ptCount val="4"/>
                <c:pt idx="0">
                  <c:v>13.565104351740963</c:v>
                </c:pt>
                <c:pt idx="1">
                  <c:v>7.9359626807363481</c:v>
                </c:pt>
                <c:pt idx="2">
                  <c:v>2.2525485132443905</c:v>
                </c:pt>
                <c:pt idx="3">
                  <c:v>1.0366756457171427</c:v>
                </c:pt>
              </c:numCache>
            </c:numRef>
          </c:val>
        </c:ser>
        <c:ser>
          <c:idx val="2"/>
          <c:order val="2"/>
          <c:tx>
            <c:strRef>
              <c:f>Sheet1!$O$388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Sheet1!$U$385:$X$385</c:f>
              <c:strCache>
                <c:ptCount val="4"/>
                <c:pt idx="0">
                  <c:v>Once per month</c:v>
                </c:pt>
                <c:pt idx="1">
                  <c:v>Once per week</c:v>
                </c:pt>
                <c:pt idx="2">
                  <c:v>Three times per week</c:v>
                </c:pt>
                <c:pt idx="3">
                  <c:v>Five times per week</c:v>
                </c:pt>
              </c:strCache>
            </c:strRef>
          </c:cat>
          <c:val>
            <c:numRef>
              <c:f>Sheet1!$U$388:$X$388</c:f>
              <c:numCache>
                <c:formatCode>General</c:formatCode>
                <c:ptCount val="4"/>
                <c:pt idx="0">
                  <c:v>15.721556652804502</c:v>
                </c:pt>
                <c:pt idx="1">
                  <c:v>9.1094414933836632</c:v>
                </c:pt>
                <c:pt idx="2">
                  <c:v>2.5792444139050463</c:v>
                </c:pt>
                <c:pt idx="3">
                  <c:v>1.1384487513219208</c:v>
                </c:pt>
              </c:numCache>
            </c:numRef>
          </c:val>
        </c:ser>
        <c:ser>
          <c:idx val="3"/>
          <c:order val="3"/>
          <c:tx>
            <c:strRef>
              <c:f>Sheet1!$O$389</c:f>
              <c:strCache>
                <c:ptCount val="1"/>
                <c:pt idx="0">
                  <c:v>Dorset</c:v>
                </c:pt>
              </c:strCache>
            </c:strRef>
          </c:tx>
          <c:spPr>
            <a:solidFill>
              <a:schemeClr val="tx1"/>
            </a:solidFill>
          </c:spPr>
          <c:cat>
            <c:strRef>
              <c:f>Sheet1!$U$385:$X$385</c:f>
              <c:strCache>
                <c:ptCount val="4"/>
                <c:pt idx="0">
                  <c:v>Once per month</c:v>
                </c:pt>
                <c:pt idx="1">
                  <c:v>Once per week</c:v>
                </c:pt>
                <c:pt idx="2">
                  <c:v>Three times per week</c:v>
                </c:pt>
                <c:pt idx="3">
                  <c:v>Five times per week</c:v>
                </c:pt>
              </c:strCache>
            </c:strRef>
          </c:cat>
          <c:val>
            <c:numRef>
              <c:f>Sheet1!$U$389:$X$389</c:f>
              <c:numCache>
                <c:formatCode>General</c:formatCode>
                <c:ptCount val="4"/>
                <c:pt idx="0">
                  <c:v>17.576739142663438</c:v>
                </c:pt>
                <c:pt idx="1">
                  <c:v>10.415718835517788</c:v>
                </c:pt>
                <c:pt idx="2">
                  <c:v>3.1342238178507653</c:v>
                </c:pt>
                <c:pt idx="3">
                  <c:v>1.4395506915427729</c:v>
                </c:pt>
              </c:numCache>
            </c:numRef>
          </c:val>
        </c:ser>
        <c:axId val="152737280"/>
        <c:axId val="152738816"/>
      </c:barChart>
      <c:catAx>
        <c:axId val="152737280"/>
        <c:scaling>
          <c:orientation val="minMax"/>
        </c:scaling>
        <c:axPos val="b"/>
        <c:numFmt formatCode="General" sourceLinked="1"/>
        <c:tickLblPos val="nextTo"/>
        <c:txPr>
          <a:bodyPr/>
          <a:lstStyle/>
          <a:p>
            <a:pPr>
              <a:defRPr sz="800"/>
            </a:pPr>
            <a:endParaRPr lang="en-US"/>
          </a:p>
        </c:txPr>
        <c:crossAx val="152738816"/>
        <c:crosses val="autoZero"/>
        <c:auto val="1"/>
        <c:lblAlgn val="ctr"/>
        <c:lblOffset val="100"/>
      </c:catAx>
      <c:valAx>
        <c:axId val="152738816"/>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2737280"/>
        <c:crosses val="autoZero"/>
        <c:crossBetween val="between"/>
      </c:valAx>
    </c:plotArea>
    <c:legend>
      <c:legendPos val="r"/>
      <c:layout/>
      <c:txPr>
        <a:bodyPr/>
        <a:lstStyle/>
        <a:p>
          <a:pPr>
            <a:defRPr sz="800"/>
          </a:pPr>
          <a:endParaRPr lang="en-US"/>
        </a:p>
      </c:txPr>
    </c:legend>
    <c:plotVisOnly val="1"/>
  </c:chart>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lang val="en-GB"/>
  <c:chart>
    <c:title>
      <c:tx>
        <c:strRef>
          <c:f>Sheet1!$Y$385</c:f>
          <c:strCache>
            <c:ptCount val="1"/>
            <c:pt idx="0">
              <c:v>Proportion of adults that cycle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Sheet1!$Z$385:$AC$385</c:f>
              <c:strCache>
                <c:ptCount val="4"/>
                <c:pt idx="0">
                  <c:v>Once per month</c:v>
                </c:pt>
                <c:pt idx="1">
                  <c:v>Once per week</c:v>
                </c:pt>
                <c:pt idx="2">
                  <c:v>Three times per week</c:v>
                </c:pt>
                <c:pt idx="3">
                  <c:v>Five times per week</c:v>
                </c:pt>
              </c:strCache>
            </c:strRef>
          </c:cat>
          <c:val>
            <c:numRef>
              <c:f>Sheet1!$Z$386:$AC$386</c:f>
              <c:numCache>
                <c:formatCode>General</c:formatCode>
                <c:ptCount val="4"/>
                <c:pt idx="0">
                  <c:v>6.7852956193061544</c:v>
                </c:pt>
                <c:pt idx="1">
                  <c:v>4.8736204074001037</c:v>
                </c:pt>
                <c:pt idx="2">
                  <c:v>2.161953576697305</c:v>
                </c:pt>
                <c:pt idx="3">
                  <c:v>1.1929432328894456</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Sheet1!$Z$385:$AC$385</c:f>
              <c:strCache>
                <c:ptCount val="4"/>
                <c:pt idx="0">
                  <c:v>Once per month</c:v>
                </c:pt>
                <c:pt idx="1">
                  <c:v>Once per week</c:v>
                </c:pt>
                <c:pt idx="2">
                  <c:v>Three times per week</c:v>
                </c:pt>
                <c:pt idx="3">
                  <c:v>Five times per week</c:v>
                </c:pt>
              </c:strCache>
            </c:strRef>
          </c:cat>
          <c:val>
            <c:numRef>
              <c:f>Sheet1!$Z$387:$AC$387</c:f>
              <c:numCache>
                <c:formatCode>General</c:formatCode>
                <c:ptCount val="4"/>
                <c:pt idx="0">
                  <c:v>8.9753766699644277</c:v>
                </c:pt>
                <c:pt idx="1">
                  <c:v>7.0033647463668567</c:v>
                </c:pt>
                <c:pt idx="2">
                  <c:v>3.8270432358187976</c:v>
                </c:pt>
                <c:pt idx="3">
                  <c:v>2.4392979269362836</c:v>
                </c:pt>
              </c:numCache>
            </c:numRef>
          </c:val>
        </c:ser>
        <c:ser>
          <c:idx val="2"/>
          <c:order val="2"/>
          <c:tx>
            <c:strRef>
              <c:f>Sheet1!$O$388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Sheet1!$Z$385:$AC$385</c:f>
              <c:strCache>
                <c:ptCount val="4"/>
                <c:pt idx="0">
                  <c:v>Once per month</c:v>
                </c:pt>
                <c:pt idx="1">
                  <c:v>Once per week</c:v>
                </c:pt>
                <c:pt idx="2">
                  <c:v>Three times per week</c:v>
                </c:pt>
                <c:pt idx="3">
                  <c:v>Five times per week</c:v>
                </c:pt>
              </c:strCache>
            </c:strRef>
          </c:cat>
          <c:val>
            <c:numRef>
              <c:f>Sheet1!$Z$388:$AC$388</c:f>
              <c:numCache>
                <c:formatCode>General</c:formatCode>
                <c:ptCount val="4"/>
                <c:pt idx="0">
                  <c:v>8.142119830987804</c:v>
                </c:pt>
                <c:pt idx="1">
                  <c:v>6.1662292048000227</c:v>
                </c:pt>
                <c:pt idx="2">
                  <c:v>3.1312271916176582</c:v>
                </c:pt>
                <c:pt idx="3">
                  <c:v>1.9603055345048419</c:v>
                </c:pt>
              </c:numCache>
            </c:numRef>
          </c:val>
        </c:ser>
        <c:ser>
          <c:idx val="3"/>
          <c:order val="3"/>
          <c:tx>
            <c:strRef>
              <c:f>Sheet1!$O$389</c:f>
              <c:strCache>
                <c:ptCount val="1"/>
                <c:pt idx="0">
                  <c:v>Dorset</c:v>
                </c:pt>
              </c:strCache>
            </c:strRef>
          </c:tx>
          <c:spPr>
            <a:solidFill>
              <a:schemeClr val="tx1"/>
            </a:solidFill>
          </c:spPr>
          <c:cat>
            <c:strRef>
              <c:f>Sheet1!$Z$385:$AC$385</c:f>
              <c:strCache>
                <c:ptCount val="4"/>
                <c:pt idx="0">
                  <c:v>Once per month</c:v>
                </c:pt>
                <c:pt idx="1">
                  <c:v>Once per week</c:v>
                </c:pt>
                <c:pt idx="2">
                  <c:v>Three times per week</c:v>
                </c:pt>
                <c:pt idx="3">
                  <c:v>Five times per week</c:v>
                </c:pt>
              </c:strCache>
            </c:strRef>
          </c:cat>
          <c:val>
            <c:numRef>
              <c:f>Sheet1!$Z$389:$AC$389</c:f>
              <c:numCache>
                <c:formatCode>General</c:formatCode>
                <c:ptCount val="4"/>
                <c:pt idx="0">
                  <c:v>8.5198295231047432</c:v>
                </c:pt>
                <c:pt idx="1">
                  <c:v>6.4012899904528044</c:v>
                </c:pt>
                <c:pt idx="2">
                  <c:v>2.6356917621095417</c:v>
                </c:pt>
                <c:pt idx="3">
                  <c:v>1.276331109989872</c:v>
                </c:pt>
              </c:numCache>
            </c:numRef>
          </c:val>
        </c:ser>
        <c:axId val="152926080"/>
        <c:axId val="152927616"/>
      </c:barChart>
      <c:catAx>
        <c:axId val="152926080"/>
        <c:scaling>
          <c:orientation val="minMax"/>
        </c:scaling>
        <c:axPos val="b"/>
        <c:numFmt formatCode="General" sourceLinked="1"/>
        <c:tickLblPos val="nextTo"/>
        <c:txPr>
          <a:bodyPr/>
          <a:lstStyle/>
          <a:p>
            <a:pPr>
              <a:defRPr sz="800"/>
            </a:pPr>
            <a:endParaRPr lang="en-US"/>
          </a:p>
        </c:txPr>
        <c:crossAx val="152927616"/>
        <c:crosses val="autoZero"/>
        <c:auto val="1"/>
        <c:lblAlgn val="ctr"/>
        <c:lblOffset val="100"/>
      </c:catAx>
      <c:valAx>
        <c:axId val="152927616"/>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2926080"/>
        <c:crosses val="autoZero"/>
        <c:crossBetween val="between"/>
      </c:valAx>
    </c:plotArea>
    <c:legend>
      <c:legendPos val="r"/>
      <c:layout/>
      <c:txPr>
        <a:bodyPr/>
        <a:lstStyle/>
        <a:p>
          <a:pPr>
            <a:defRPr sz="800"/>
          </a:pPr>
          <a:endParaRPr lang="en-US"/>
        </a:p>
      </c:txPr>
    </c:legend>
    <c:plotVisOnly val="1"/>
  </c:chart>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lang val="en-GB"/>
  <c:chart>
    <c:title>
      <c:tx>
        <c:strRef>
          <c:f>Sheet1!$AI$385</c:f>
          <c:strCache>
            <c:ptCount val="1"/>
            <c:pt idx="0">
              <c:v>Proportion of adults that walk,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Sheet1!$AJ$385:$AM$385</c:f>
              <c:strCache>
                <c:ptCount val="4"/>
                <c:pt idx="0">
                  <c:v>Once per month</c:v>
                </c:pt>
                <c:pt idx="1">
                  <c:v>Once per week</c:v>
                </c:pt>
                <c:pt idx="2">
                  <c:v>Three times per week</c:v>
                </c:pt>
                <c:pt idx="3">
                  <c:v>Five times per week</c:v>
                </c:pt>
              </c:strCache>
            </c:strRef>
          </c:cat>
          <c:val>
            <c:numRef>
              <c:f>Sheet1!$AJ$386:$AM$386</c:f>
              <c:numCache>
                <c:formatCode>General</c:formatCode>
                <c:ptCount val="4"/>
                <c:pt idx="0">
                  <c:v>78.204063931631495</c:v>
                </c:pt>
                <c:pt idx="1">
                  <c:v>68.4475566894683</c:v>
                </c:pt>
                <c:pt idx="2">
                  <c:v>41.724010409306075</c:v>
                </c:pt>
                <c:pt idx="3">
                  <c:v>30.361184286907054</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Sheet1!$AJ$385:$AM$385</c:f>
              <c:strCache>
                <c:ptCount val="4"/>
                <c:pt idx="0">
                  <c:v>Once per month</c:v>
                </c:pt>
                <c:pt idx="1">
                  <c:v>Once per week</c:v>
                </c:pt>
                <c:pt idx="2">
                  <c:v>Three times per week</c:v>
                </c:pt>
                <c:pt idx="3">
                  <c:v>Five times per week</c:v>
                </c:pt>
              </c:strCache>
            </c:strRef>
          </c:cat>
          <c:val>
            <c:numRef>
              <c:f>Sheet1!$AJ$387:$AM$387</c:f>
              <c:numCache>
                <c:formatCode>General</c:formatCode>
                <c:ptCount val="4"/>
                <c:pt idx="0">
                  <c:v>77.1489125663431</c:v>
                </c:pt>
                <c:pt idx="1">
                  <c:v>68.037849743348602</c:v>
                </c:pt>
                <c:pt idx="2">
                  <c:v>41.81790855528034</c:v>
                </c:pt>
                <c:pt idx="3">
                  <c:v>30.858610973818408</c:v>
                </c:pt>
              </c:numCache>
            </c:numRef>
          </c:val>
        </c:ser>
        <c:ser>
          <c:idx val="2"/>
          <c:order val="2"/>
          <c:tx>
            <c:strRef>
              <c:f>Sheet1!$AI$388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Sheet1!$AJ$385:$AM$385</c:f>
              <c:strCache>
                <c:ptCount val="4"/>
                <c:pt idx="0">
                  <c:v>Once per month</c:v>
                </c:pt>
                <c:pt idx="1">
                  <c:v>Once per week</c:v>
                </c:pt>
                <c:pt idx="2">
                  <c:v>Three times per week</c:v>
                </c:pt>
                <c:pt idx="3">
                  <c:v>Five times per week</c:v>
                </c:pt>
              </c:strCache>
            </c:strRef>
          </c:cat>
          <c:val>
            <c:numRef>
              <c:f>Sheet1!$AJ$388:$AM$388</c:f>
              <c:numCache>
                <c:formatCode>General</c:formatCode>
                <c:ptCount val="4"/>
                <c:pt idx="0">
                  <c:v>78.349020371259101</c:v>
                </c:pt>
                <c:pt idx="1">
                  <c:v>68.610170468001641</c:v>
                </c:pt>
                <c:pt idx="2">
                  <c:v>41.613135653370051</c:v>
                </c:pt>
                <c:pt idx="3">
                  <c:v>30.280460785494959</c:v>
                </c:pt>
              </c:numCache>
            </c:numRef>
          </c:val>
        </c:ser>
        <c:ser>
          <c:idx val="3"/>
          <c:order val="3"/>
          <c:tx>
            <c:strRef>
              <c:f>Sheet1!$AI$389</c:f>
              <c:strCache>
                <c:ptCount val="1"/>
                <c:pt idx="0">
                  <c:v>Dorset</c:v>
                </c:pt>
              </c:strCache>
            </c:strRef>
          </c:tx>
          <c:spPr>
            <a:solidFill>
              <a:schemeClr val="tx1"/>
            </a:solidFill>
          </c:spPr>
          <c:cat>
            <c:strRef>
              <c:f>Sheet1!$AJ$385:$AM$385</c:f>
              <c:strCache>
                <c:ptCount val="4"/>
                <c:pt idx="0">
                  <c:v>Once per month</c:v>
                </c:pt>
                <c:pt idx="1">
                  <c:v>Once per week</c:v>
                </c:pt>
                <c:pt idx="2">
                  <c:v>Three times per week</c:v>
                </c:pt>
                <c:pt idx="3">
                  <c:v>Five times per week</c:v>
                </c:pt>
              </c:strCache>
            </c:strRef>
          </c:cat>
          <c:val>
            <c:numRef>
              <c:f>Sheet1!$AJ$389:$AM$389</c:f>
              <c:numCache>
                <c:formatCode>General</c:formatCode>
                <c:ptCount val="4"/>
                <c:pt idx="0">
                  <c:v>79.341316018315752</c:v>
                </c:pt>
                <c:pt idx="1">
                  <c:v>69.282959486887847</c:v>
                </c:pt>
                <c:pt idx="2">
                  <c:v>40.757967523555763</c:v>
                </c:pt>
                <c:pt idx="3">
                  <c:v>29.746025413115717</c:v>
                </c:pt>
              </c:numCache>
            </c:numRef>
          </c:val>
        </c:ser>
        <c:axId val="152971520"/>
        <c:axId val="152981504"/>
      </c:barChart>
      <c:catAx>
        <c:axId val="152971520"/>
        <c:scaling>
          <c:orientation val="minMax"/>
        </c:scaling>
        <c:axPos val="b"/>
        <c:numFmt formatCode="General" sourceLinked="1"/>
        <c:tickLblPos val="nextTo"/>
        <c:txPr>
          <a:bodyPr/>
          <a:lstStyle/>
          <a:p>
            <a:pPr>
              <a:defRPr sz="800"/>
            </a:pPr>
            <a:endParaRPr lang="en-US"/>
          </a:p>
        </c:txPr>
        <c:crossAx val="152981504"/>
        <c:crosses val="autoZero"/>
        <c:auto val="1"/>
        <c:lblAlgn val="ctr"/>
        <c:lblOffset val="100"/>
      </c:catAx>
      <c:valAx>
        <c:axId val="152981504"/>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2971520"/>
        <c:crosses val="autoZero"/>
        <c:crossBetween val="between"/>
      </c:valAx>
    </c:plotArea>
    <c:legend>
      <c:legendPos val="r"/>
      <c:layout/>
      <c:txPr>
        <a:bodyPr/>
        <a:lstStyle/>
        <a:p>
          <a:pPr>
            <a:defRPr sz="800"/>
          </a:pPr>
          <a:endParaRPr lang="en-US"/>
        </a:p>
      </c:txPr>
    </c:legend>
    <c:plotVisOnly val="1"/>
  </c:chart>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lang val="en-GB"/>
  <c:chart>
    <c:title>
      <c:tx>
        <c:strRef>
          <c:f>Sheet1!$AN$385</c:f>
          <c:strCache>
            <c:ptCount val="1"/>
            <c:pt idx="0">
              <c:v>Proportion of adults that walk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Sheet1!$AO$385:$AR$385</c:f>
              <c:strCache>
                <c:ptCount val="4"/>
                <c:pt idx="0">
                  <c:v>Once per month</c:v>
                </c:pt>
                <c:pt idx="1">
                  <c:v>Once per week</c:v>
                </c:pt>
                <c:pt idx="2">
                  <c:v>Three times per week</c:v>
                </c:pt>
                <c:pt idx="3">
                  <c:v>Five times per week</c:v>
                </c:pt>
              </c:strCache>
            </c:strRef>
          </c:cat>
          <c:val>
            <c:numRef>
              <c:f>Sheet1!$AO$386:$AR$386</c:f>
              <c:numCache>
                <c:formatCode>General</c:formatCode>
                <c:ptCount val="4"/>
                <c:pt idx="0">
                  <c:v>67.718310441885734</c:v>
                </c:pt>
                <c:pt idx="1">
                  <c:v>54.125095296580014</c:v>
                </c:pt>
                <c:pt idx="2">
                  <c:v>26.077564539991837</c:v>
                </c:pt>
                <c:pt idx="3">
                  <c:v>18.987199258990689</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Sheet1!$AO$385:$AR$385</c:f>
              <c:strCache>
                <c:ptCount val="4"/>
                <c:pt idx="0">
                  <c:v>Once per month</c:v>
                </c:pt>
                <c:pt idx="1">
                  <c:v>Once per week</c:v>
                </c:pt>
                <c:pt idx="2">
                  <c:v>Three times per week</c:v>
                </c:pt>
                <c:pt idx="3">
                  <c:v>Five times per week</c:v>
                </c:pt>
              </c:strCache>
            </c:strRef>
          </c:cat>
          <c:val>
            <c:numRef>
              <c:f>Sheet1!$AO$387:$AR$387</c:f>
              <c:numCache>
                <c:formatCode>General</c:formatCode>
                <c:ptCount val="4"/>
                <c:pt idx="0">
                  <c:v>59.065876996045183</c:v>
                </c:pt>
                <c:pt idx="1">
                  <c:v>45.473244831926806</c:v>
                </c:pt>
                <c:pt idx="2">
                  <c:v>19.132862874839049</c:v>
                </c:pt>
                <c:pt idx="3">
                  <c:v>13.494032567019296</c:v>
                </c:pt>
              </c:numCache>
            </c:numRef>
          </c:val>
        </c:ser>
        <c:ser>
          <c:idx val="2"/>
          <c:order val="2"/>
          <c:tx>
            <c:strRef>
              <c:f>Sheet1!$AI$388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Sheet1!$AO$385:$AR$385</c:f>
              <c:strCache>
                <c:ptCount val="4"/>
                <c:pt idx="0">
                  <c:v>Once per month</c:v>
                </c:pt>
                <c:pt idx="1">
                  <c:v>Once per week</c:v>
                </c:pt>
                <c:pt idx="2">
                  <c:v>Three times per week</c:v>
                </c:pt>
                <c:pt idx="3">
                  <c:v>Five times per week</c:v>
                </c:pt>
              </c:strCache>
            </c:strRef>
          </c:cat>
          <c:val>
            <c:numRef>
              <c:f>Sheet1!$AO$388:$AR$388</c:f>
              <c:numCache>
                <c:formatCode>General</c:formatCode>
                <c:ptCount val="4"/>
                <c:pt idx="0">
                  <c:v>65.388927318044651</c:v>
                </c:pt>
                <c:pt idx="1">
                  <c:v>51.444121507050788</c:v>
                </c:pt>
                <c:pt idx="2">
                  <c:v>23.53102135295806</c:v>
                </c:pt>
                <c:pt idx="3">
                  <c:v>16.989908371888351</c:v>
                </c:pt>
              </c:numCache>
            </c:numRef>
          </c:val>
        </c:ser>
        <c:ser>
          <c:idx val="3"/>
          <c:order val="3"/>
          <c:tx>
            <c:strRef>
              <c:f>Sheet1!$AI$389</c:f>
              <c:strCache>
                <c:ptCount val="1"/>
                <c:pt idx="0">
                  <c:v>Dorset</c:v>
                </c:pt>
              </c:strCache>
            </c:strRef>
          </c:tx>
          <c:spPr>
            <a:solidFill>
              <a:schemeClr val="tx1"/>
            </a:solidFill>
          </c:spPr>
          <c:cat>
            <c:strRef>
              <c:f>Sheet1!$AO$385:$AR$385</c:f>
              <c:strCache>
                <c:ptCount val="4"/>
                <c:pt idx="0">
                  <c:v>Once per month</c:v>
                </c:pt>
                <c:pt idx="1">
                  <c:v>Once per week</c:v>
                </c:pt>
                <c:pt idx="2">
                  <c:v>Three times per week</c:v>
                </c:pt>
                <c:pt idx="3">
                  <c:v>Five times per week</c:v>
                </c:pt>
              </c:strCache>
            </c:strRef>
          </c:cat>
          <c:val>
            <c:numRef>
              <c:f>Sheet1!$AO$389:$AR$389</c:f>
              <c:numCache>
                <c:formatCode>General</c:formatCode>
                <c:ptCount val="4"/>
                <c:pt idx="0">
                  <c:v>71.06731264806335</c:v>
                </c:pt>
                <c:pt idx="1">
                  <c:v>56.505210699142616</c:v>
                </c:pt>
                <c:pt idx="2">
                  <c:v>25.640348545279103</c:v>
                </c:pt>
                <c:pt idx="3">
                  <c:v>18.938839140231359</c:v>
                </c:pt>
              </c:numCache>
            </c:numRef>
          </c:val>
        </c:ser>
        <c:axId val="153004672"/>
        <c:axId val="152830336"/>
      </c:barChart>
      <c:catAx>
        <c:axId val="153004672"/>
        <c:scaling>
          <c:orientation val="minMax"/>
        </c:scaling>
        <c:axPos val="b"/>
        <c:numFmt formatCode="General" sourceLinked="1"/>
        <c:tickLblPos val="nextTo"/>
        <c:txPr>
          <a:bodyPr/>
          <a:lstStyle/>
          <a:p>
            <a:pPr>
              <a:defRPr sz="800"/>
            </a:pPr>
            <a:endParaRPr lang="en-US"/>
          </a:p>
        </c:txPr>
        <c:crossAx val="152830336"/>
        <c:crosses val="autoZero"/>
        <c:auto val="1"/>
        <c:lblAlgn val="ctr"/>
        <c:lblOffset val="100"/>
      </c:catAx>
      <c:valAx>
        <c:axId val="152830336"/>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3004672"/>
        <c:crosses val="autoZero"/>
        <c:crossBetween val="between"/>
      </c:valAx>
    </c:plotArea>
    <c:legend>
      <c:legendPos val="r"/>
      <c:layout/>
      <c:txPr>
        <a:bodyPr/>
        <a:lstStyle/>
        <a:p>
          <a:pPr>
            <a:defRPr sz="800"/>
          </a:pPr>
          <a:endParaRPr lang="en-US"/>
        </a:p>
      </c:txPr>
    </c:legend>
    <c:plotVisOnly val="1"/>
  </c:chart>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lang val="en-GB"/>
  <c:chart>
    <c:title>
      <c:tx>
        <c:strRef>
          <c:f>Sheet1!$AS$385</c:f>
          <c:strCache>
            <c:ptCount val="1"/>
            <c:pt idx="0">
              <c:v>Proportion of adults that walk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Sheet1!$AT$385:$AW$385</c:f>
              <c:strCache>
                <c:ptCount val="4"/>
                <c:pt idx="0">
                  <c:v>Once per month</c:v>
                </c:pt>
                <c:pt idx="1">
                  <c:v>Once per week</c:v>
                </c:pt>
                <c:pt idx="2">
                  <c:v>Three times per week</c:v>
                </c:pt>
                <c:pt idx="3">
                  <c:v>Five times per week</c:v>
                </c:pt>
              </c:strCache>
            </c:strRef>
          </c:cat>
          <c:val>
            <c:numRef>
              <c:f>Sheet1!$AT$386:$AW$386</c:f>
              <c:numCache>
                <c:formatCode>General</c:formatCode>
                <c:ptCount val="4"/>
                <c:pt idx="0">
                  <c:v>40.066472936355098</c:v>
                </c:pt>
                <c:pt idx="1">
                  <c:v>32.954781385047923</c:v>
                </c:pt>
                <c:pt idx="2">
                  <c:v>16.71911051667453</c:v>
                </c:pt>
                <c:pt idx="3">
                  <c:v>11.698243097149177</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Sheet1!$AT$385:$AW$385</c:f>
              <c:strCache>
                <c:ptCount val="4"/>
                <c:pt idx="0">
                  <c:v>Once per month</c:v>
                </c:pt>
                <c:pt idx="1">
                  <c:v>Once per week</c:v>
                </c:pt>
                <c:pt idx="2">
                  <c:v>Three times per week</c:v>
                </c:pt>
                <c:pt idx="3">
                  <c:v>Five times per week</c:v>
                </c:pt>
              </c:strCache>
            </c:strRef>
          </c:cat>
          <c:val>
            <c:numRef>
              <c:f>Sheet1!$AT$387:$AW$387</c:f>
              <c:numCache>
                <c:formatCode>General</c:formatCode>
                <c:ptCount val="4"/>
                <c:pt idx="0">
                  <c:v>51.436230705487397</c:v>
                </c:pt>
                <c:pt idx="1">
                  <c:v>43.659457647253603</c:v>
                </c:pt>
                <c:pt idx="2">
                  <c:v>24.035133552391343</c:v>
                </c:pt>
                <c:pt idx="3">
                  <c:v>17.6897812600333</c:v>
                </c:pt>
              </c:numCache>
            </c:numRef>
          </c:val>
        </c:ser>
        <c:ser>
          <c:idx val="2"/>
          <c:order val="2"/>
          <c:tx>
            <c:strRef>
              <c:f>Sheet1!$AI$388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Sheet1!$AT$385:$AW$385</c:f>
              <c:strCache>
                <c:ptCount val="4"/>
                <c:pt idx="0">
                  <c:v>Once per month</c:v>
                </c:pt>
                <c:pt idx="1">
                  <c:v>Once per week</c:v>
                </c:pt>
                <c:pt idx="2">
                  <c:v>Three times per week</c:v>
                </c:pt>
                <c:pt idx="3">
                  <c:v>Five times per week</c:v>
                </c:pt>
              </c:strCache>
            </c:strRef>
          </c:cat>
          <c:val>
            <c:numRef>
              <c:f>Sheet1!$AT$388:$AW$388</c:f>
              <c:numCache>
                <c:formatCode>General</c:formatCode>
                <c:ptCount val="4"/>
                <c:pt idx="0">
                  <c:v>44.445414121357381</c:v>
                </c:pt>
                <c:pt idx="1">
                  <c:v>36.787361206000604</c:v>
                </c:pt>
                <c:pt idx="2">
                  <c:v>19.021314072875267</c:v>
                </c:pt>
                <c:pt idx="3">
                  <c:v>13.393237048481478</c:v>
                </c:pt>
              </c:numCache>
            </c:numRef>
          </c:val>
        </c:ser>
        <c:ser>
          <c:idx val="3"/>
          <c:order val="3"/>
          <c:tx>
            <c:strRef>
              <c:f>Sheet1!$AI$389</c:f>
              <c:strCache>
                <c:ptCount val="1"/>
                <c:pt idx="0">
                  <c:v>Dorset</c:v>
                </c:pt>
              </c:strCache>
            </c:strRef>
          </c:tx>
          <c:spPr>
            <a:solidFill>
              <a:schemeClr val="tx1"/>
            </a:solidFill>
          </c:spPr>
          <c:cat>
            <c:strRef>
              <c:f>Sheet1!$AT$385:$AW$385</c:f>
              <c:strCache>
                <c:ptCount val="4"/>
                <c:pt idx="0">
                  <c:v>Once per month</c:v>
                </c:pt>
                <c:pt idx="1">
                  <c:v>Once per week</c:v>
                </c:pt>
                <c:pt idx="2">
                  <c:v>Three times per week</c:v>
                </c:pt>
                <c:pt idx="3">
                  <c:v>Five times per week</c:v>
                </c:pt>
              </c:strCache>
            </c:strRef>
          </c:cat>
          <c:val>
            <c:numRef>
              <c:f>Sheet1!$AT$389:$AW$389</c:f>
              <c:numCache>
                <c:formatCode>General</c:formatCode>
                <c:ptCount val="4"/>
                <c:pt idx="0">
                  <c:v>38.387310273892034</c:v>
                </c:pt>
                <c:pt idx="1">
                  <c:v>31.778708341249708</c:v>
                </c:pt>
                <c:pt idx="2">
                  <c:v>15.665135867275328</c:v>
                </c:pt>
                <c:pt idx="3">
                  <c:v>10.443380518501026</c:v>
                </c:pt>
              </c:numCache>
            </c:numRef>
          </c:val>
        </c:ser>
        <c:axId val="152894464"/>
        <c:axId val="153027328"/>
      </c:barChart>
      <c:catAx>
        <c:axId val="152894464"/>
        <c:scaling>
          <c:orientation val="minMax"/>
        </c:scaling>
        <c:axPos val="b"/>
        <c:numFmt formatCode="General" sourceLinked="1"/>
        <c:tickLblPos val="nextTo"/>
        <c:txPr>
          <a:bodyPr/>
          <a:lstStyle/>
          <a:p>
            <a:pPr>
              <a:defRPr sz="800"/>
            </a:pPr>
            <a:endParaRPr lang="en-US"/>
          </a:p>
        </c:txPr>
        <c:crossAx val="153027328"/>
        <c:crosses val="autoZero"/>
        <c:auto val="1"/>
        <c:lblAlgn val="ctr"/>
        <c:lblOffset val="100"/>
      </c:catAx>
      <c:valAx>
        <c:axId val="153027328"/>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2894464"/>
        <c:crosses val="autoZero"/>
        <c:crossBetween val="between"/>
      </c:valAx>
    </c:plotArea>
    <c:legend>
      <c:legendPos val="r"/>
      <c:layout/>
      <c:txPr>
        <a:bodyPr/>
        <a:lstStyle/>
        <a:p>
          <a:pPr>
            <a:defRPr sz="800"/>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Sheet1!$CE$379</c:f>
          <c:strCache>
            <c:ptCount val="1"/>
            <c:pt idx="0">
              <c:v>Travel time to nearest employment centre with at least 5000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Sheet1!$CF$379:$CH$379</c:f>
              <c:numCache>
                <c:formatCode>General</c:formatCode>
                <c:ptCount val="3"/>
                <c:pt idx="0">
                  <c:v>2014</c:v>
                </c:pt>
                <c:pt idx="1">
                  <c:v>2015</c:v>
                </c:pt>
                <c:pt idx="2">
                  <c:v>2016</c:v>
                </c:pt>
              </c:numCache>
            </c:numRef>
          </c:cat>
          <c:val>
            <c:numRef>
              <c:f>Sheet1!$CF$380:$CH$380</c:f>
              <c:numCache>
                <c:formatCode>General</c:formatCode>
                <c:ptCount val="3"/>
                <c:pt idx="0">
                  <c:v>66.120216711379442</c:v>
                </c:pt>
                <c:pt idx="1">
                  <c:v>64.780036590800279</c:v>
                </c:pt>
                <c:pt idx="2">
                  <c:v>65.104492785585478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Sheet1!$CF$379:$CH$379</c:f>
              <c:numCache>
                <c:formatCode>General</c:formatCode>
                <c:ptCount val="3"/>
                <c:pt idx="0">
                  <c:v>2014</c:v>
                </c:pt>
                <c:pt idx="1">
                  <c:v>2015</c:v>
                </c:pt>
                <c:pt idx="2">
                  <c:v>2016</c:v>
                </c:pt>
              </c:numCache>
            </c:numRef>
          </c:cat>
          <c:val>
            <c:numRef>
              <c:f>Sheet1!$CF$381:$CH$381</c:f>
              <c:numCache>
                <c:formatCode>General</c:formatCode>
                <c:ptCount val="3"/>
                <c:pt idx="0">
                  <c:v>23.231280367915925</c:v>
                </c:pt>
                <c:pt idx="1">
                  <c:v>23.067567015284308</c:v>
                </c:pt>
                <c:pt idx="2">
                  <c:v>24.670732477287824</c:v>
                </c:pt>
              </c:numCache>
            </c:numRef>
          </c:val>
        </c:ser>
        <c:ser>
          <c:idx val="3"/>
          <c:order val="2"/>
          <c:tx>
            <c:strRef>
              <c:f>Sheet1!$CE$382</c:f>
              <c:strCache>
                <c:ptCount val="1"/>
                <c:pt idx="0">
                  <c:v>Shire County average</c:v>
                </c:pt>
              </c:strCache>
            </c:strRef>
          </c:tx>
          <c:spPr>
            <a:ln w="25400">
              <a:solidFill>
                <a:schemeClr val="accent1">
                  <a:lumMod val="40000"/>
                  <a:lumOff val="60000"/>
                </a:schemeClr>
              </a:solidFill>
              <a:prstDash val="sysDot"/>
            </a:ln>
          </c:spPr>
          <c:marker>
            <c:symbol val="none"/>
          </c:marker>
          <c:cat>
            <c:numRef>
              <c:f>Sheet1!$CF$379:$CH$379</c:f>
              <c:numCache>
                <c:formatCode>General</c:formatCode>
                <c:ptCount val="3"/>
                <c:pt idx="0">
                  <c:v>2014</c:v>
                </c:pt>
                <c:pt idx="1">
                  <c:v>2015</c:v>
                </c:pt>
                <c:pt idx="2">
                  <c:v>2016</c:v>
                </c:pt>
              </c:numCache>
            </c:numRef>
          </c:cat>
          <c:val>
            <c:numRef>
              <c:f>Sheet1!$CF$382:$CH$382</c:f>
              <c:numCache>
                <c:formatCode>General</c:formatCode>
                <c:ptCount val="3"/>
                <c:pt idx="0">
                  <c:v>47.480300268467396</c:v>
                </c:pt>
                <c:pt idx="1">
                  <c:v>46.407450871548825</c:v>
                </c:pt>
                <c:pt idx="2">
                  <c:v>48.797299511224395</c:v>
                </c:pt>
              </c:numCache>
            </c:numRef>
          </c:val>
        </c:ser>
        <c:ser>
          <c:idx val="4"/>
          <c:order val="3"/>
          <c:tx>
            <c:strRef>
              <c:f>Sheet1!$CE$383</c:f>
              <c:strCache>
                <c:ptCount val="1"/>
                <c:pt idx="0">
                  <c:v>Dorset</c:v>
                </c:pt>
              </c:strCache>
            </c:strRef>
          </c:tx>
          <c:spPr>
            <a:ln w="25400">
              <a:solidFill>
                <a:schemeClr val="tx1"/>
              </a:solidFill>
            </a:ln>
          </c:spPr>
          <c:marker>
            <c:symbol val="none"/>
          </c:marker>
          <c:cat>
            <c:numRef>
              <c:f>Sheet1!$CF$379:$CH$379</c:f>
              <c:numCache>
                <c:formatCode>General</c:formatCode>
                <c:ptCount val="3"/>
                <c:pt idx="0">
                  <c:v>2014</c:v>
                </c:pt>
                <c:pt idx="1">
                  <c:v>2015</c:v>
                </c:pt>
                <c:pt idx="2">
                  <c:v>2016</c:v>
                </c:pt>
              </c:numCache>
            </c:numRef>
          </c:cat>
          <c:val>
            <c:numRef>
              <c:f>Sheet1!$CF$383:$CH$383</c:f>
              <c:numCache>
                <c:formatCode>General</c:formatCode>
                <c:ptCount val="3"/>
                <c:pt idx="0">
                  <c:v>55.105958423021775</c:v>
                </c:pt>
                <c:pt idx="1">
                  <c:v>55.413644424782191</c:v>
                </c:pt>
                <c:pt idx="2">
                  <c:v>76.615823538038583</c:v>
                </c:pt>
              </c:numCache>
            </c:numRef>
          </c:val>
        </c:ser>
        <c:marker val="1"/>
        <c:axId val="149760256"/>
        <c:axId val="149770240"/>
      </c:lineChart>
      <c:catAx>
        <c:axId val="149760256"/>
        <c:scaling>
          <c:orientation val="minMax"/>
        </c:scaling>
        <c:axPos val="b"/>
        <c:numFmt formatCode="General" sourceLinked="1"/>
        <c:tickLblPos val="nextTo"/>
        <c:crossAx val="149770240"/>
        <c:crosses val="autoZero"/>
        <c:auto val="1"/>
        <c:lblAlgn val="ctr"/>
        <c:lblOffset val="100"/>
      </c:catAx>
      <c:valAx>
        <c:axId val="149770240"/>
        <c:scaling>
          <c:orientation val="minMax"/>
        </c:scaling>
        <c:axPos val="l"/>
        <c:majorGridlines/>
        <c:title>
          <c:tx>
            <c:strRef>
              <c:f>Sheet1!$CE$384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760256"/>
        <c:crosses val="autoZero"/>
        <c:crossBetween val="between"/>
      </c:valAx>
    </c:plotArea>
    <c:legend>
      <c:legendPos val="r"/>
      <c:txPr>
        <a:bodyPr/>
        <a:lstStyle/>
        <a:p>
          <a:pPr>
            <a:defRPr sz="800"/>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Sheet1!$CP$379</c:f>
          <c:strCache>
            <c:ptCount val="1"/>
            <c:pt idx="0">
              <c:v>Travel time to nearest employment centre with at least 5000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Sheet1!$CQ$379:$CS$379</c:f>
              <c:numCache>
                <c:formatCode>General</c:formatCode>
                <c:ptCount val="3"/>
                <c:pt idx="0">
                  <c:v>2014</c:v>
                </c:pt>
                <c:pt idx="1">
                  <c:v>2015</c:v>
                </c:pt>
                <c:pt idx="2">
                  <c:v>2016</c:v>
                </c:pt>
              </c:numCache>
            </c:numRef>
          </c:cat>
          <c:val>
            <c:numRef>
              <c:f>Sheet1!$CQ$380:$CS$380</c:f>
              <c:numCache>
                <c:formatCode>General</c:formatCode>
                <c:ptCount val="3"/>
                <c:pt idx="0">
                  <c:v>26.154033932541719</c:v>
                </c:pt>
                <c:pt idx="1">
                  <c:v>26.432096574325495</c:v>
                </c:pt>
                <c:pt idx="2">
                  <c:v>27.062328790036478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Sheet1!$CQ$379:$CS$379</c:f>
              <c:numCache>
                <c:formatCode>General</c:formatCode>
                <c:ptCount val="3"/>
                <c:pt idx="0">
                  <c:v>2014</c:v>
                </c:pt>
                <c:pt idx="1">
                  <c:v>2015</c:v>
                </c:pt>
                <c:pt idx="2">
                  <c:v>2016</c:v>
                </c:pt>
              </c:numCache>
            </c:numRef>
          </c:cat>
          <c:val>
            <c:numRef>
              <c:f>Sheet1!$CQ$381:$CS$381</c:f>
              <c:numCache>
                <c:formatCode>General</c:formatCode>
                <c:ptCount val="3"/>
                <c:pt idx="0">
                  <c:v>14.524026412843073</c:v>
                </c:pt>
                <c:pt idx="1">
                  <c:v>14.087235547679224</c:v>
                </c:pt>
                <c:pt idx="2">
                  <c:v>15.871572265696139</c:v>
                </c:pt>
              </c:numCache>
            </c:numRef>
          </c:val>
        </c:ser>
        <c:ser>
          <c:idx val="3"/>
          <c:order val="2"/>
          <c:tx>
            <c:strRef>
              <c:f>Sheet1!$CE$382</c:f>
              <c:strCache>
                <c:ptCount val="1"/>
                <c:pt idx="0">
                  <c:v>Shire County average</c:v>
                </c:pt>
              </c:strCache>
            </c:strRef>
          </c:tx>
          <c:spPr>
            <a:ln w="25400">
              <a:solidFill>
                <a:schemeClr val="accent1">
                  <a:lumMod val="40000"/>
                  <a:lumOff val="60000"/>
                </a:schemeClr>
              </a:solidFill>
              <a:prstDash val="sysDot"/>
            </a:ln>
          </c:spPr>
          <c:marker>
            <c:symbol val="none"/>
          </c:marker>
          <c:cat>
            <c:numRef>
              <c:f>Sheet1!$CQ$379:$CS$379</c:f>
              <c:numCache>
                <c:formatCode>General</c:formatCode>
                <c:ptCount val="3"/>
                <c:pt idx="0">
                  <c:v>2014</c:v>
                </c:pt>
                <c:pt idx="1">
                  <c:v>2015</c:v>
                </c:pt>
                <c:pt idx="2">
                  <c:v>2016</c:v>
                </c:pt>
              </c:numCache>
            </c:numRef>
          </c:cat>
          <c:val>
            <c:numRef>
              <c:f>Sheet1!$CQ$382:$CS$382</c:f>
              <c:numCache>
                <c:formatCode>General</c:formatCode>
                <c:ptCount val="3"/>
                <c:pt idx="0">
                  <c:v>21.436881938181127</c:v>
                </c:pt>
                <c:pt idx="1">
                  <c:v>21.364277926983863</c:v>
                </c:pt>
                <c:pt idx="2">
                  <c:v>22.82389169320189</c:v>
                </c:pt>
              </c:numCache>
            </c:numRef>
          </c:val>
        </c:ser>
        <c:ser>
          <c:idx val="4"/>
          <c:order val="3"/>
          <c:tx>
            <c:strRef>
              <c:f>Sheet1!$CE$383</c:f>
              <c:strCache>
                <c:ptCount val="1"/>
                <c:pt idx="0">
                  <c:v>Dorset</c:v>
                </c:pt>
              </c:strCache>
            </c:strRef>
          </c:tx>
          <c:spPr>
            <a:ln w="25400">
              <a:solidFill>
                <a:schemeClr val="tx1"/>
              </a:solidFill>
            </a:ln>
          </c:spPr>
          <c:marker>
            <c:symbol val="none"/>
          </c:marker>
          <c:cat>
            <c:numRef>
              <c:f>Sheet1!$CQ$379:$CS$379</c:f>
              <c:numCache>
                <c:formatCode>General</c:formatCode>
                <c:ptCount val="3"/>
                <c:pt idx="0">
                  <c:v>2014</c:v>
                </c:pt>
                <c:pt idx="1">
                  <c:v>2015</c:v>
                </c:pt>
                <c:pt idx="2">
                  <c:v>2016</c:v>
                </c:pt>
              </c:numCache>
            </c:numRef>
          </c:cat>
          <c:val>
            <c:numRef>
              <c:f>Sheet1!$CQ$383:$CS$383</c:f>
              <c:numCache>
                <c:formatCode>General</c:formatCode>
                <c:ptCount val="3"/>
                <c:pt idx="0">
                  <c:v>23.145928114973799</c:v>
                </c:pt>
                <c:pt idx="1">
                  <c:v>23.669028148364099</c:v>
                </c:pt>
                <c:pt idx="2">
                  <c:v>31.101024945168799</c:v>
                </c:pt>
              </c:numCache>
            </c:numRef>
          </c:val>
        </c:ser>
        <c:marker val="1"/>
        <c:axId val="149797504"/>
        <c:axId val="149881216"/>
      </c:lineChart>
      <c:catAx>
        <c:axId val="149797504"/>
        <c:scaling>
          <c:orientation val="minMax"/>
        </c:scaling>
        <c:axPos val="b"/>
        <c:numFmt formatCode="General" sourceLinked="1"/>
        <c:tickLblPos val="nextTo"/>
        <c:crossAx val="149881216"/>
        <c:crosses val="autoZero"/>
        <c:auto val="1"/>
        <c:lblAlgn val="ctr"/>
        <c:lblOffset val="100"/>
      </c:catAx>
      <c:valAx>
        <c:axId val="149881216"/>
        <c:scaling>
          <c:orientation val="minMax"/>
        </c:scaling>
        <c:axPos val="l"/>
        <c:majorGridlines/>
        <c:title>
          <c:tx>
            <c:strRef>
              <c:f>Sheet1!$CP$384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797504"/>
        <c:crosses val="autoZero"/>
        <c:crossBetween val="between"/>
      </c:valAx>
    </c:plotArea>
    <c:legend>
      <c:legendPos val="r"/>
      <c:txPr>
        <a:bodyPr/>
        <a:lstStyle/>
        <a:p>
          <a:pPr>
            <a:defRPr sz="8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FCB75A-8CC1-4439-B1EF-2E5FD94B4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30</Pages>
  <Words>1410</Words>
  <Characters>8040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10</cp:revision>
  <dcterms:created xsi:type="dcterms:W3CDTF">2018-06-28T11:18:00Z</dcterms:created>
  <dcterms:modified xsi:type="dcterms:W3CDTF">2018-07-16T13:13:00Z</dcterms:modified>
</cp:coreProperties>
</file>